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B6" w:rsidRDefault="005132B6" w:rsidP="0017007F">
      <w:pPr>
        <w:spacing w:line="240" w:lineRule="auto"/>
        <w:ind w:right="74"/>
        <w:rPr>
          <w:b/>
          <w:lang w:val="pt-BR"/>
        </w:rPr>
      </w:pPr>
    </w:p>
    <w:p w:rsidR="00773781" w:rsidRDefault="00773781" w:rsidP="00773781">
      <w:pPr>
        <w:rPr>
          <w:b/>
        </w:rPr>
      </w:pPr>
    </w:p>
    <w:p w:rsidR="00773781" w:rsidRDefault="00773781" w:rsidP="00773781">
      <w:pPr>
        <w:rPr>
          <w:rFonts w:cs="Arial"/>
        </w:rPr>
      </w:pPr>
      <w:r w:rsidRPr="00D81FAB">
        <w:t xml:space="preserve">În data de </w:t>
      </w:r>
      <w:r w:rsidRPr="00D81FAB">
        <w:rPr>
          <w:b/>
        </w:rPr>
        <w:t xml:space="preserve">4 septembrie </w:t>
      </w:r>
      <w:r w:rsidR="00BB68B3">
        <w:rPr>
          <w:b/>
        </w:rPr>
        <w:t>2019,</w:t>
      </w:r>
      <w:r w:rsidRPr="00D81FAB">
        <w:t xml:space="preserve"> Comisia Europeană a publicat </w:t>
      </w:r>
      <w:r w:rsidRPr="00D81FAB">
        <w:rPr>
          <w:b/>
        </w:rPr>
        <w:t>o nouă Comunicare</w:t>
      </w:r>
      <w:r w:rsidRPr="00D81FAB">
        <w:t xml:space="preserve"> pe tema procesului de pregătire internă în ipoteza unei retrageri a UK fără un acord, adresând un apel </w:t>
      </w:r>
      <w:r w:rsidRPr="00D81FAB">
        <w:rPr>
          <w:rFonts w:cs="Arial"/>
        </w:rPr>
        <w:t>tuturor părților interesate din UE27 de a se pregăti pentru scenariul fără acord</w:t>
      </w:r>
      <w:r>
        <w:rPr>
          <w:rFonts w:cs="Arial"/>
        </w:rPr>
        <w:t>, scenariu care deși nedorit, rămâne unul plauzibil.</w:t>
      </w:r>
    </w:p>
    <w:p w:rsidR="00773781" w:rsidRPr="00D81FAB" w:rsidRDefault="00773781" w:rsidP="00773781">
      <w:r w:rsidRPr="00D81FAB">
        <w:t xml:space="preserve">În acest spirit, Comisia Europeană a publicat și </w:t>
      </w:r>
      <w:r w:rsidRPr="007C2AA9">
        <w:rPr>
          <w:b/>
        </w:rPr>
        <w:t>o </w:t>
      </w:r>
      <w:hyperlink r:id="rId8" w:history="1">
        <w:r w:rsidRPr="007C2AA9">
          <w:rPr>
            <w:b/>
          </w:rPr>
          <w:t>listă de verificare</w:t>
        </w:r>
        <w:r w:rsidRPr="00D81FAB">
          <w:t xml:space="preserve"> </w:t>
        </w:r>
      </w:hyperlink>
      <w:r w:rsidRPr="00D81FAB">
        <w:t xml:space="preserve"> menită să ajute întreprinderile care au schimburi comerciale cu Regatul Unit să facă ultimele pregătiri pentru această eventualitate. </w:t>
      </w:r>
    </w:p>
    <w:p w:rsidR="00773781" w:rsidRPr="00D81FAB" w:rsidRDefault="00773781" w:rsidP="00773781">
      <w:r w:rsidRPr="00D81FAB">
        <w:t xml:space="preserve">Această a șasea </w:t>
      </w:r>
      <w:r>
        <w:t>C</w:t>
      </w:r>
      <w:r w:rsidRPr="00D81FAB">
        <w:t xml:space="preserve">omunicare se bazează pe </w:t>
      </w:r>
      <w:r>
        <w:rPr>
          <w:b/>
        </w:rPr>
        <w:t>C</w:t>
      </w:r>
      <w:r w:rsidRPr="007C2AA9">
        <w:rPr>
          <w:b/>
        </w:rPr>
        <w:t>omunicările anterioare</w:t>
      </w:r>
      <w:r w:rsidRPr="00D81FAB">
        <w:t xml:space="preserve"> și pe cele </w:t>
      </w:r>
      <w:r w:rsidRPr="007C2AA9">
        <w:rPr>
          <w:b/>
        </w:rPr>
        <w:t>100 de avize</w:t>
      </w:r>
      <w:r w:rsidRPr="00D81FAB">
        <w:t xml:space="preserve"> adresate părților interesate, care vizează o gamă largă de sectoare. </w:t>
      </w:r>
    </w:p>
    <w:p w:rsidR="00773781" w:rsidRDefault="00773781" w:rsidP="00773781">
      <w:r w:rsidRPr="00D81FAB">
        <w:t xml:space="preserve">Pe lângă </w:t>
      </w:r>
      <w:r>
        <w:t>C</w:t>
      </w:r>
      <w:r w:rsidRPr="00D81FAB">
        <w:t xml:space="preserve">omunicare, Comisia a propus Parlamentului European și Consiliului să opereze o serie de </w:t>
      </w:r>
      <w:r w:rsidRPr="007C2AA9">
        <w:rPr>
          <w:b/>
        </w:rPr>
        <w:t>ajustări tehnice specifice cu privire la perioada în care se aplică măsurile de contingență ale UE în cazul scenariului fără acord în domeniul transporturilor</w:t>
      </w:r>
      <w:r w:rsidRPr="00D81FAB">
        <w:t xml:space="preserve">, având în vedere decizia de prelungire până la 31 octombrie 2019 a perioadei prevăzute la articolul 50 din </w:t>
      </w:r>
      <w:r>
        <w:t>T</w:t>
      </w:r>
      <w:r w:rsidRPr="00D81FAB">
        <w:t>ratatul privind Uniunea Europeană.</w:t>
      </w:r>
    </w:p>
    <w:p w:rsidR="00773781" w:rsidRDefault="00773781" w:rsidP="00773781">
      <w:r>
        <w:t xml:space="preserve">În ceea ce </w:t>
      </w:r>
      <w:r w:rsidRPr="007C2AA9">
        <w:rPr>
          <w:b/>
        </w:rPr>
        <w:t>privește măsura de contingență a UE care viz</w:t>
      </w:r>
      <w:r>
        <w:rPr>
          <w:b/>
        </w:rPr>
        <w:t>ează</w:t>
      </w:r>
      <w:r w:rsidRPr="007C2AA9">
        <w:rPr>
          <w:b/>
        </w:rPr>
        <w:t xml:space="preserve"> conectivitatea de bază a transportului rutier de mărfuri și persoane</w:t>
      </w:r>
      <w:r w:rsidR="009B4C36">
        <w:t xml:space="preserve"> - Regulamentul (UE) 2019/501 -</w:t>
      </w:r>
      <w:r>
        <w:t xml:space="preserve"> Comisia Europeană a propus </w:t>
      </w:r>
      <w:r w:rsidRPr="007C2AA9">
        <w:rPr>
          <w:b/>
        </w:rPr>
        <w:t xml:space="preserve">prelungirea aplicării acestui Regulament </w:t>
      </w:r>
      <w:r w:rsidRPr="00C61F5B">
        <w:rPr>
          <w:b/>
          <w:u w:val="single"/>
        </w:rPr>
        <w:t>până la 31 iulie 2020</w:t>
      </w:r>
      <w:r>
        <w:t xml:space="preserve">, în concordanță cu logica și durata Regulamentului inițial.  </w:t>
      </w:r>
    </w:p>
    <w:p w:rsidR="00773781" w:rsidRPr="00C61F5B" w:rsidRDefault="00773781" w:rsidP="00773781">
      <w:r>
        <w:t xml:space="preserve">Regulamentul (UE) 2019/501 </w:t>
      </w:r>
      <w:r w:rsidRPr="00C61F5B">
        <w:t xml:space="preserve">stabilește </w:t>
      </w:r>
      <w:r w:rsidRPr="00C61F5B">
        <w:rPr>
          <w:b/>
        </w:rPr>
        <w:t>măsuri temporare</w:t>
      </w:r>
      <w:r w:rsidRPr="00C61F5B">
        <w:t xml:space="preserve"> ce reglementează transportul rutier de mărfuri, precum și furnizarea de servicii regulate și de servicii regulate speciale de transport de persoane cu autocarul și autobuzul între Uniune și Regatul Unit al Marii Britanii și Irlandei de Nord (denumit în continuare „Regatul Unit”), în ipoteza retragerii Regatului Unit din Uniune fără un acord de retragere.</w:t>
      </w:r>
    </w:p>
    <w:p w:rsidR="00773781" w:rsidRPr="00C61F5B" w:rsidRDefault="00773781" w:rsidP="00773781">
      <w:pPr>
        <w:tabs>
          <w:tab w:val="left" w:pos="3960"/>
        </w:tabs>
        <w:spacing w:after="0" w:line="240" w:lineRule="atLeast"/>
        <w:rPr>
          <w:rFonts w:ascii="Times New Roman" w:hAnsi="Times New Roman"/>
          <w:sz w:val="24"/>
          <w:szCs w:val="24"/>
        </w:rPr>
      </w:pPr>
      <w:r w:rsidRPr="00C61F5B">
        <w:t xml:space="preserve">Aceste măsuri sunt menite să mențină conectivitatea de bază a transportului rutier de mărfuri și de persoane </w:t>
      </w:r>
      <w:r w:rsidRPr="00C61F5B">
        <w:rPr>
          <w:b/>
        </w:rPr>
        <w:t>pentru o perioadă de timp strict limitată, până la 31 decembrie 2019</w:t>
      </w:r>
      <w:r w:rsidRPr="00C61F5B">
        <w:t>. În acest sens, este prevăzută posibilitatea pentru operatorii de transport rutier din Regatul Unit, în condițiile prevăzute de Regulament, să efectueze „transporturi permise de mărfuri”, iar pentru operatorii de servicii de transport cu autobuzul și autocarul din Regatul Unit, de a efectua, în condițiile prevăzute de Regulament, „transporturi permise de persoane cu autocarul și autobuzul”. Drepturile acordate operatorilor de transport rutier din Regatul Unit fac obiectul legislației relevante a Uniunii aplicabile transportului rutier și drepturilor echivalente acordate de Regatul Unit operatorilor de transport rutier din Uniune.</w:t>
      </w:r>
    </w:p>
    <w:p w:rsidR="00773781" w:rsidRPr="003E0CE7" w:rsidRDefault="00773781" w:rsidP="00773781">
      <w:r w:rsidRPr="003E0CE7">
        <w:t>Vă pr</w:t>
      </w:r>
      <w:bookmarkStart w:id="0" w:name="_GoBack"/>
      <w:bookmarkEnd w:id="0"/>
      <w:r w:rsidRPr="003E0CE7">
        <w:t>ezentăm mai jos o serie de link-uri utile</w:t>
      </w:r>
      <w:r w:rsidR="009B4C36">
        <w:t xml:space="preserve"> pentru Brexit</w:t>
      </w:r>
      <w:r w:rsidRPr="003E0CE7">
        <w:t>:</w:t>
      </w:r>
    </w:p>
    <w:p w:rsidR="00773781" w:rsidRPr="006073FB" w:rsidRDefault="00B61F9B" w:rsidP="00DF6EAD">
      <w:pPr>
        <w:pStyle w:val="ListParagraph"/>
        <w:numPr>
          <w:ilvl w:val="0"/>
          <w:numId w:val="5"/>
        </w:numPr>
        <w:spacing w:before="0" w:after="120"/>
        <w:ind w:left="907" w:hanging="450"/>
        <w:rPr>
          <w:rStyle w:val="filetitle1"/>
          <w:b w:val="0"/>
          <w:bCs w:val="0"/>
        </w:rPr>
      </w:pPr>
      <w:hyperlink r:id="rId9" w:anchor="communications-of-the-european-commission" w:history="1">
        <w:r w:rsidR="00773781" w:rsidRPr="00383BE3">
          <w:rPr>
            <w:rStyle w:val="Hyperlink"/>
            <w:rFonts w:cs="Arial"/>
            <w:b/>
            <w:color w:val="auto"/>
          </w:rPr>
          <w:t>Comunicarea Comisiei</w:t>
        </w:r>
      </w:hyperlink>
      <w:r w:rsidR="00773781">
        <w:rPr>
          <w:rStyle w:val="Hyperlink"/>
          <w:rFonts w:cs="Arial"/>
          <w:b/>
          <w:color w:val="auto"/>
        </w:rPr>
        <w:t xml:space="preserve"> Europene</w:t>
      </w:r>
      <w:r w:rsidR="00773781" w:rsidRPr="00187DFA">
        <w:rPr>
          <w:rFonts w:cs="Arial"/>
        </w:rPr>
        <w:t xml:space="preserve"> din 4 septembrie 2019 </w:t>
      </w:r>
      <w:r w:rsidR="00773781" w:rsidRPr="00197A73">
        <w:rPr>
          <w:rStyle w:val="filetitle1"/>
          <w:rFonts w:cs="Arial"/>
          <w:lang w:val="en"/>
        </w:rPr>
        <w:t>“</w:t>
      </w:r>
      <w:proofErr w:type="spellStart"/>
      <w:r w:rsidR="00773781" w:rsidRPr="00197A73">
        <w:rPr>
          <w:rStyle w:val="filetitle1"/>
          <w:rFonts w:cs="Arial"/>
          <w:lang w:val="en"/>
        </w:rPr>
        <w:t>Finalizarea</w:t>
      </w:r>
      <w:proofErr w:type="spellEnd"/>
      <w:r w:rsidR="00773781" w:rsidRPr="00197A73">
        <w:rPr>
          <w:rStyle w:val="filetitle1"/>
          <w:rFonts w:cs="Arial"/>
          <w:lang w:val="en"/>
        </w:rPr>
        <w:t xml:space="preserve"> </w:t>
      </w:r>
      <w:proofErr w:type="spellStart"/>
      <w:r w:rsidR="00773781" w:rsidRPr="00197A73">
        <w:rPr>
          <w:rStyle w:val="filetitle1"/>
          <w:rFonts w:cs="Arial"/>
          <w:lang w:val="en"/>
        </w:rPr>
        <w:t>pregătirilor</w:t>
      </w:r>
      <w:proofErr w:type="spellEnd"/>
      <w:r w:rsidR="00773781" w:rsidRPr="00197A73">
        <w:rPr>
          <w:rStyle w:val="filetitle1"/>
          <w:rFonts w:cs="Arial"/>
          <w:lang w:val="en"/>
        </w:rPr>
        <w:t xml:space="preserve"> </w:t>
      </w:r>
      <w:proofErr w:type="spellStart"/>
      <w:r w:rsidR="00773781" w:rsidRPr="00197A73">
        <w:rPr>
          <w:rStyle w:val="filetitle1"/>
          <w:rFonts w:cs="Arial"/>
          <w:lang w:val="en"/>
        </w:rPr>
        <w:t>pentru</w:t>
      </w:r>
      <w:proofErr w:type="spellEnd"/>
      <w:r w:rsidR="00773781" w:rsidRPr="00197A73">
        <w:rPr>
          <w:rStyle w:val="filetitle1"/>
          <w:rFonts w:cs="Arial"/>
          <w:lang w:val="en"/>
        </w:rPr>
        <w:t xml:space="preserve"> </w:t>
      </w:r>
      <w:proofErr w:type="spellStart"/>
      <w:r w:rsidR="00773781" w:rsidRPr="00197A73">
        <w:rPr>
          <w:rStyle w:val="filetitle1"/>
          <w:rFonts w:cs="Arial"/>
          <w:lang w:val="en"/>
        </w:rPr>
        <w:t>retragerea</w:t>
      </w:r>
      <w:proofErr w:type="spellEnd"/>
      <w:r w:rsidR="00773781" w:rsidRPr="00197A73">
        <w:rPr>
          <w:rStyle w:val="filetitle1"/>
          <w:rFonts w:cs="Arial"/>
          <w:lang w:val="en"/>
        </w:rPr>
        <w:t xml:space="preserve"> </w:t>
      </w:r>
      <w:proofErr w:type="spellStart"/>
      <w:r w:rsidR="00773781" w:rsidRPr="00197A73">
        <w:rPr>
          <w:rStyle w:val="filetitle1"/>
          <w:rFonts w:cs="Arial"/>
          <w:lang w:val="en"/>
        </w:rPr>
        <w:t>Regatului</w:t>
      </w:r>
      <w:proofErr w:type="spellEnd"/>
      <w:r w:rsidR="00773781" w:rsidRPr="00197A73">
        <w:rPr>
          <w:rStyle w:val="filetitle1"/>
          <w:rFonts w:cs="Arial"/>
          <w:lang w:val="en"/>
        </w:rPr>
        <w:t xml:space="preserve"> Unit din </w:t>
      </w:r>
      <w:proofErr w:type="spellStart"/>
      <w:r w:rsidR="00773781" w:rsidRPr="00197A73">
        <w:rPr>
          <w:rStyle w:val="filetitle1"/>
          <w:rFonts w:cs="Arial"/>
          <w:lang w:val="en"/>
        </w:rPr>
        <w:t>Uniunea</w:t>
      </w:r>
      <w:proofErr w:type="spellEnd"/>
      <w:r w:rsidR="00773781" w:rsidRPr="00197A73">
        <w:rPr>
          <w:rStyle w:val="filetitle1"/>
          <w:rFonts w:cs="Arial"/>
          <w:lang w:val="en"/>
        </w:rPr>
        <w:t xml:space="preserve"> </w:t>
      </w:r>
      <w:proofErr w:type="spellStart"/>
      <w:r w:rsidR="00773781" w:rsidRPr="00197A73">
        <w:rPr>
          <w:rStyle w:val="filetitle1"/>
          <w:rFonts w:cs="Arial"/>
          <w:lang w:val="en"/>
        </w:rPr>
        <w:t>Europeană</w:t>
      </w:r>
      <w:proofErr w:type="spellEnd"/>
      <w:r w:rsidR="00773781" w:rsidRPr="00197A73">
        <w:rPr>
          <w:rStyle w:val="filetitle1"/>
          <w:rFonts w:cs="Arial"/>
          <w:lang w:val="en"/>
        </w:rPr>
        <w:t xml:space="preserve"> la 1 </w:t>
      </w:r>
      <w:proofErr w:type="spellStart"/>
      <w:r w:rsidR="00773781" w:rsidRPr="00197A73">
        <w:rPr>
          <w:rStyle w:val="filetitle1"/>
          <w:rFonts w:cs="Arial"/>
          <w:lang w:val="en"/>
        </w:rPr>
        <w:t>noiembrie</w:t>
      </w:r>
      <w:proofErr w:type="spellEnd"/>
      <w:r w:rsidR="00773781" w:rsidRPr="00197A73">
        <w:rPr>
          <w:rStyle w:val="filetitle1"/>
          <w:rFonts w:cs="Arial"/>
          <w:lang w:val="en"/>
        </w:rPr>
        <w:t xml:space="preserve"> 2019”</w:t>
      </w:r>
    </w:p>
    <w:p w:rsidR="00773781" w:rsidRPr="00187DFA" w:rsidRDefault="00B61F9B" w:rsidP="00DF6EAD">
      <w:pPr>
        <w:pStyle w:val="ListParagraph"/>
        <w:numPr>
          <w:ilvl w:val="0"/>
          <w:numId w:val="5"/>
        </w:numPr>
        <w:spacing w:before="0" w:after="120"/>
        <w:ind w:left="907" w:hanging="450"/>
      </w:pPr>
      <w:hyperlink r:id="rId10" w:history="1">
        <w:r w:rsidR="00773781" w:rsidRPr="00383BE3">
          <w:rPr>
            <w:rStyle w:val="Hyperlink"/>
            <w:rFonts w:cs="Arial"/>
            <w:b/>
            <w:color w:val="auto"/>
          </w:rPr>
          <w:t>Lista de verificare pentru întreprinderi</w:t>
        </w:r>
      </w:hyperlink>
      <w:r w:rsidR="00773781" w:rsidRPr="00187DFA">
        <w:rPr>
          <w:rFonts w:cs="Arial"/>
        </w:rPr>
        <w:t xml:space="preserve"> </w:t>
      </w:r>
      <w:r w:rsidR="00773781">
        <w:rPr>
          <w:rFonts w:cs="Arial"/>
        </w:rPr>
        <w:t>publicată de Comisia Europeană în</w:t>
      </w:r>
      <w:r w:rsidR="00773781" w:rsidRPr="00187DFA">
        <w:rPr>
          <w:rFonts w:cs="Arial"/>
        </w:rPr>
        <w:t xml:space="preserve"> 4 septembrie 2019</w:t>
      </w:r>
    </w:p>
    <w:p w:rsidR="00773781" w:rsidRPr="00A30794" w:rsidRDefault="00773781" w:rsidP="00DF6EAD">
      <w:pPr>
        <w:pStyle w:val="ListParagraph"/>
        <w:numPr>
          <w:ilvl w:val="0"/>
          <w:numId w:val="5"/>
        </w:numPr>
        <w:spacing w:before="0" w:after="120"/>
        <w:ind w:left="907" w:hanging="450"/>
      </w:pPr>
      <w:r w:rsidRPr="00383BE3">
        <w:rPr>
          <w:b/>
        </w:rPr>
        <w:t>Propunerea de Regulament</w:t>
      </w:r>
      <w:r w:rsidRPr="00187DFA">
        <w:t xml:space="preserve"> </w:t>
      </w:r>
      <w:r w:rsidRPr="00187DFA">
        <w:rPr>
          <w:b/>
        </w:rPr>
        <w:t xml:space="preserve">al Parlamentului European și al Consiliului  de modificare a Regulamentului (UE) 2019/501 și a Regulamentului (UE) 2019/502 în ceea ce </w:t>
      </w:r>
      <w:r>
        <w:rPr>
          <w:b/>
        </w:rPr>
        <w:t>privește perioadele de aplicare</w:t>
      </w:r>
      <w:r w:rsidRPr="00383BE3">
        <w:t xml:space="preserve"> </w:t>
      </w:r>
      <w:r>
        <w:rPr>
          <w:rFonts w:cs="Arial"/>
        </w:rPr>
        <w:t>publicată de Comisia Europeană în</w:t>
      </w:r>
      <w:r w:rsidRPr="00187DFA">
        <w:rPr>
          <w:rFonts w:cs="Arial"/>
        </w:rPr>
        <w:t xml:space="preserve"> 4 septembrie 2019</w:t>
      </w:r>
    </w:p>
    <w:p w:rsidR="00773781" w:rsidRPr="00197A73" w:rsidRDefault="00B61F9B" w:rsidP="00DF6EAD">
      <w:pPr>
        <w:pStyle w:val="ListParagraph"/>
        <w:spacing w:before="0" w:after="120"/>
        <w:ind w:left="907"/>
        <w:rPr>
          <w:color w:val="0563C1" w:themeColor="hyperlink"/>
          <w:u w:val="single"/>
        </w:rPr>
      </w:pPr>
      <w:hyperlink r:id="rId11" w:history="1">
        <w:r w:rsidR="00773781">
          <w:rPr>
            <w:rStyle w:val="Hyperlink"/>
          </w:rPr>
          <w:t>https://ec.europa.eu/info/files/com-2019-396_en</w:t>
        </w:r>
      </w:hyperlink>
    </w:p>
    <w:p w:rsidR="00773781" w:rsidRDefault="00773781" w:rsidP="00DF6EAD">
      <w:pPr>
        <w:pStyle w:val="ListParagraph"/>
        <w:numPr>
          <w:ilvl w:val="0"/>
          <w:numId w:val="5"/>
        </w:numPr>
        <w:spacing w:before="0" w:after="120"/>
        <w:ind w:left="907" w:hanging="450"/>
      </w:pPr>
      <w:r w:rsidRPr="00383BE3">
        <w:rPr>
          <w:b/>
        </w:rPr>
        <w:t xml:space="preserve">Regulamentul (UE) 2019/501 </w:t>
      </w:r>
      <w:r>
        <w:t>al Parlamentului European și al Consiliului din 25 martie 2019 privind normele comune care asigură conectivitatea de bază a transportului rutier de mărfuri și de persoane cu privire la retragerea Regatului Unit al Marii Britanii și Irlandei de Nord din Uniune</w:t>
      </w:r>
    </w:p>
    <w:p w:rsidR="00773781" w:rsidRDefault="00B61F9B" w:rsidP="00DF6EAD">
      <w:pPr>
        <w:pStyle w:val="ListParagraph"/>
        <w:spacing w:before="0" w:after="120"/>
        <w:ind w:left="907"/>
        <w:rPr>
          <w:rStyle w:val="Hyperlink"/>
        </w:rPr>
      </w:pPr>
      <w:hyperlink r:id="rId12" w:history="1">
        <w:r w:rsidR="00773781">
          <w:rPr>
            <w:rStyle w:val="Hyperlink"/>
          </w:rPr>
          <w:t>https://eur-lex.europa.eu/legal-content/RO/TXT/PDF/?uri=CELEX:32019R0501&amp;from=es</w:t>
        </w:r>
      </w:hyperlink>
    </w:p>
    <w:p w:rsidR="006943C5" w:rsidRDefault="006943C5" w:rsidP="00DF6EAD">
      <w:pPr>
        <w:pStyle w:val="ListParagraph"/>
        <w:numPr>
          <w:ilvl w:val="0"/>
          <w:numId w:val="5"/>
        </w:numPr>
        <w:spacing w:before="0" w:after="120"/>
        <w:ind w:left="907" w:hanging="450"/>
      </w:pPr>
      <w:r w:rsidRPr="006943C5">
        <w:rPr>
          <w:b/>
        </w:rPr>
        <w:t>Regulamentul (UE) 2019/502</w:t>
      </w:r>
      <w:r>
        <w:t xml:space="preserve"> al Parlamentului European și al Consiliului din 25 martie 2019 privind normele comune care asigură conectivitatea aeriană de bază în ceea ce privește retragerea Regatului Unit al Marii Britanii și Irlandei de Nord din Uniune</w:t>
      </w:r>
    </w:p>
    <w:p w:rsidR="006943C5" w:rsidRDefault="00B61F9B" w:rsidP="00DF6EAD">
      <w:pPr>
        <w:pStyle w:val="ListParagraph"/>
        <w:spacing w:before="0" w:after="120"/>
        <w:ind w:left="907"/>
      </w:pPr>
      <w:hyperlink r:id="rId13" w:history="1">
        <w:r w:rsidR="006943C5">
          <w:rPr>
            <w:rStyle w:val="Hyperlink"/>
          </w:rPr>
          <w:t>https://eur-lex.europa.eu/legal-content/RO/TXT/PDF/?uri=CELEX:32019R0502&amp;from=DE</w:t>
        </w:r>
      </w:hyperlink>
    </w:p>
    <w:p w:rsidR="00DF6EAD" w:rsidRDefault="00DF6EAD" w:rsidP="00DF6EAD">
      <w:pPr>
        <w:pStyle w:val="ListParagraph"/>
        <w:numPr>
          <w:ilvl w:val="0"/>
          <w:numId w:val="5"/>
        </w:numPr>
        <w:spacing w:before="0" w:after="120"/>
        <w:ind w:left="907" w:hanging="450"/>
      </w:pPr>
      <w:r w:rsidRPr="00DF6EAD">
        <w:rPr>
          <w:b/>
        </w:rPr>
        <w:t>Regulamentul (UE) 2019/492</w:t>
      </w:r>
      <w:r>
        <w:t xml:space="preserve"> al Parlamentului European și al Consiliului din 25 martie 2019 de modificare a Regulamentului (CE) nr. 391/2009 în ceea ce privește retragerea Regatului Unit din Uniune</w:t>
      </w:r>
    </w:p>
    <w:p w:rsidR="00DF6EAD" w:rsidRPr="00DF6EAD" w:rsidRDefault="00B61F9B" w:rsidP="00DF6EAD">
      <w:pPr>
        <w:pStyle w:val="ListParagraph"/>
        <w:spacing w:before="0" w:after="120"/>
        <w:ind w:left="907"/>
      </w:pPr>
      <w:hyperlink r:id="rId14" w:history="1">
        <w:r w:rsidR="00DF6EAD">
          <w:rPr>
            <w:rStyle w:val="Hyperlink"/>
          </w:rPr>
          <w:t>https://eur-lex.europa.eu/legal-content/RO/TXT/PDF/?uri=CELEX:32019R0492&amp;from=EN</w:t>
        </w:r>
      </w:hyperlink>
    </w:p>
    <w:p w:rsidR="00303C1D" w:rsidRDefault="00303C1D" w:rsidP="00DF6EAD">
      <w:pPr>
        <w:pStyle w:val="ListParagraph"/>
        <w:numPr>
          <w:ilvl w:val="0"/>
          <w:numId w:val="8"/>
        </w:numPr>
        <w:spacing w:before="0" w:after="120"/>
        <w:ind w:left="907" w:hanging="450"/>
      </w:pPr>
      <w:r w:rsidRPr="00303C1D">
        <w:rPr>
          <w:b/>
        </w:rPr>
        <w:t>Regulamentul (UE) 2019/494</w:t>
      </w:r>
      <w:r>
        <w:t xml:space="preserve"> al Parlamentului European și al Consiliului din 25 martie 2019 privind anumite aspecte ale siguranței aviației, având în vedere retragerea Regatului Unit al Marii Britanii și Irlandei de Nord din Uniunea Europeană</w:t>
      </w:r>
    </w:p>
    <w:p w:rsidR="00DF6EAD" w:rsidRDefault="00B61F9B" w:rsidP="00DF6EAD">
      <w:pPr>
        <w:pStyle w:val="ListParagraph"/>
        <w:spacing w:before="0" w:after="120"/>
        <w:ind w:left="907"/>
      </w:pPr>
      <w:hyperlink r:id="rId15" w:history="1">
        <w:r w:rsidR="00DF6EAD">
          <w:rPr>
            <w:rStyle w:val="Hyperlink"/>
          </w:rPr>
          <w:t>https://eur-lex.europa.eu/legal-content/RO/TXT/PDF/?uri=CELEX:32019R0494&amp;from=RO</w:t>
        </w:r>
      </w:hyperlink>
    </w:p>
    <w:p w:rsidR="006943C5" w:rsidRDefault="006943C5" w:rsidP="00DF6EAD">
      <w:pPr>
        <w:pStyle w:val="ListParagraph"/>
        <w:numPr>
          <w:ilvl w:val="0"/>
          <w:numId w:val="5"/>
        </w:numPr>
        <w:spacing w:before="0" w:after="120"/>
        <w:ind w:left="907" w:hanging="450"/>
      </w:pPr>
      <w:r w:rsidRPr="006943C5">
        <w:rPr>
          <w:b/>
        </w:rPr>
        <w:t>Regulamentul (UE) 2019/503</w:t>
      </w:r>
      <w:r>
        <w:t xml:space="preserve"> al Parlamentului European și al Consiliului din 25 martie 2019 privind anumite aspecte ale siguranței și conectivității feroviare având în vedere retragerea Regatului Unit din Uniune</w:t>
      </w:r>
    </w:p>
    <w:p w:rsidR="006943C5" w:rsidRDefault="00B61F9B" w:rsidP="00DF6EAD">
      <w:pPr>
        <w:pStyle w:val="ListParagraph"/>
        <w:spacing w:before="0" w:after="120"/>
        <w:ind w:left="907"/>
      </w:pPr>
      <w:hyperlink r:id="rId16" w:history="1">
        <w:r w:rsidR="006943C5">
          <w:rPr>
            <w:rStyle w:val="Hyperlink"/>
          </w:rPr>
          <w:t>https://eur-lex.europa.eu/legal-content/RO/TXT/PDF/?uri=CELEX:32019R0503&amp;from=BG</w:t>
        </w:r>
      </w:hyperlink>
    </w:p>
    <w:p w:rsidR="00303C1D" w:rsidRDefault="00303C1D" w:rsidP="00DF6EAD">
      <w:pPr>
        <w:pStyle w:val="ListParagraph"/>
        <w:numPr>
          <w:ilvl w:val="0"/>
          <w:numId w:val="8"/>
        </w:numPr>
        <w:spacing w:before="0" w:after="120"/>
        <w:ind w:left="900" w:hanging="450"/>
        <w:rPr>
          <w:rStyle w:val="shdr"/>
          <w:rFonts w:cs="Courier New"/>
        </w:rPr>
      </w:pPr>
      <w:r w:rsidRPr="00303C1D">
        <w:rPr>
          <w:rStyle w:val="sden"/>
          <w:rFonts w:cs="Courier New"/>
          <w:b/>
        </w:rPr>
        <w:t>Hotărâre a Guvernului nr. 693</w:t>
      </w:r>
      <w:r>
        <w:rPr>
          <w:rStyle w:val="sden"/>
          <w:rFonts w:cs="Courier New"/>
          <w:b/>
        </w:rPr>
        <w:t>/2019</w:t>
      </w:r>
      <w:r w:rsidRPr="00303C1D">
        <w:rPr>
          <w:rStyle w:val="sden"/>
          <w:rFonts w:cs="Courier New"/>
        </w:rPr>
        <w:t xml:space="preserve"> din 12 septembrie 2019</w:t>
      </w:r>
      <w:r>
        <w:rPr>
          <w:rStyle w:val="sden"/>
          <w:rFonts w:cs="Courier New"/>
        </w:rPr>
        <w:t xml:space="preserve"> </w:t>
      </w:r>
      <w:r w:rsidRPr="00303C1D">
        <w:rPr>
          <w:rStyle w:val="shdr"/>
          <w:rFonts w:cs="Courier New"/>
        </w:rPr>
        <w:t>privind stabilirea unor măsuri pentru punerea în aplicare a Regulamentului (UE) 2019/501 al Parlamentului European și al Consiliului din 25 martie 2019 privind normele comune care asigură conectivitatea de bază a transportului rutier de mărfuri și de persoane cu privire la retragerea Regatului Unit al Marii Britanii și Irlandei de Nord din Uniune</w:t>
      </w:r>
    </w:p>
    <w:p w:rsidR="00303C1D" w:rsidRPr="00303C1D" w:rsidRDefault="00B61F9B" w:rsidP="00DF6EAD">
      <w:pPr>
        <w:pStyle w:val="ListParagraph"/>
        <w:spacing w:before="0" w:after="120"/>
        <w:ind w:left="907"/>
      </w:pPr>
      <w:hyperlink r:id="rId17" w:history="1">
        <w:r w:rsidR="00303C1D">
          <w:rPr>
            <w:rStyle w:val="Hyperlink"/>
          </w:rPr>
          <w:t>http://legislatie.just.ro/Public/FormaPrintabila/00000G0HA5UKBCFW6DQ167UCMEG06XDA</w:t>
        </w:r>
      </w:hyperlink>
    </w:p>
    <w:p w:rsidR="00773781" w:rsidRPr="00187DFA" w:rsidRDefault="00773781" w:rsidP="00BB68B3">
      <w:pPr>
        <w:pStyle w:val="ListParagraph"/>
        <w:numPr>
          <w:ilvl w:val="0"/>
          <w:numId w:val="5"/>
        </w:numPr>
        <w:spacing w:before="0" w:after="120"/>
        <w:ind w:left="900" w:hanging="450"/>
      </w:pPr>
      <w:r w:rsidRPr="00187DFA">
        <w:rPr>
          <w:b/>
        </w:rPr>
        <w:t>avizele</w:t>
      </w:r>
      <w:r w:rsidRPr="00187DFA">
        <w:t xml:space="preserve"> adresate părților interesate de către Comisia </w:t>
      </w:r>
      <w:r>
        <w:t>Europeană</w:t>
      </w:r>
      <w:r w:rsidR="00A21E43">
        <w:t>:</w:t>
      </w:r>
    </w:p>
    <w:p w:rsidR="00773781" w:rsidRPr="003E0CE7" w:rsidRDefault="00BB68B3" w:rsidP="00BB68B3">
      <w:pPr>
        <w:ind w:left="900" w:hanging="459"/>
        <w:rPr>
          <w:rStyle w:val="Hyperlink"/>
          <w:rFonts w:cs="Arial"/>
          <w:color w:val="auto"/>
        </w:rPr>
      </w:pPr>
      <w:r>
        <w:lastRenderedPageBreak/>
        <w:t xml:space="preserve">       </w:t>
      </w:r>
      <w:hyperlink r:id="rId18" w:history="1">
        <w:r w:rsidRPr="00074964">
          <w:rPr>
            <w:rStyle w:val="Hyperlink"/>
          </w:rPr>
          <w:t>https://ec.europa.eu/info/brexit/brexit-preparedness/preparedness-notices_en</w:t>
        </w:r>
      </w:hyperlink>
    </w:p>
    <w:p w:rsidR="00773781" w:rsidRPr="00187DFA" w:rsidRDefault="00773781" w:rsidP="00BB68B3">
      <w:pPr>
        <w:pStyle w:val="ListParagraph"/>
        <w:numPr>
          <w:ilvl w:val="0"/>
          <w:numId w:val="5"/>
        </w:numPr>
        <w:spacing w:before="0" w:after="120"/>
        <w:ind w:left="900" w:right="243" w:hanging="450"/>
        <w:rPr>
          <w:rStyle w:val="Hyperlink"/>
          <w:color w:val="auto"/>
        </w:rPr>
      </w:pPr>
      <w:r w:rsidRPr="00187DFA">
        <w:rPr>
          <w:rStyle w:val="Hyperlink"/>
          <w:rFonts w:cs="Arial"/>
          <w:b/>
          <w:color w:val="auto"/>
        </w:rPr>
        <w:t xml:space="preserve">avizele </w:t>
      </w:r>
      <w:r>
        <w:rPr>
          <w:rStyle w:val="Hyperlink"/>
          <w:rFonts w:cs="Arial"/>
          <w:b/>
          <w:color w:val="auto"/>
        </w:rPr>
        <w:t>elaborate</w:t>
      </w:r>
      <w:r w:rsidRPr="00187DFA">
        <w:rPr>
          <w:rStyle w:val="Hyperlink"/>
          <w:rFonts w:cs="Arial"/>
          <w:b/>
          <w:color w:val="auto"/>
        </w:rPr>
        <w:t xml:space="preserve"> de către </w:t>
      </w:r>
      <w:r>
        <w:rPr>
          <w:rStyle w:val="Hyperlink"/>
          <w:rFonts w:cs="Arial"/>
          <w:b/>
          <w:color w:val="auto"/>
        </w:rPr>
        <w:t xml:space="preserve">direcția </w:t>
      </w:r>
      <w:r w:rsidRPr="00187DFA">
        <w:rPr>
          <w:rStyle w:val="Hyperlink"/>
          <w:rFonts w:cs="Arial"/>
          <w:b/>
          <w:color w:val="auto"/>
        </w:rPr>
        <w:t>DG MOVE</w:t>
      </w:r>
      <w:r w:rsidRPr="00187DFA">
        <w:rPr>
          <w:rStyle w:val="Hyperlink"/>
          <w:rFonts w:cs="Arial"/>
          <w:color w:val="auto"/>
        </w:rPr>
        <w:t xml:space="preserve"> </w:t>
      </w:r>
      <w:r>
        <w:rPr>
          <w:rStyle w:val="Hyperlink"/>
          <w:rFonts w:cs="Arial"/>
          <w:color w:val="auto"/>
        </w:rPr>
        <w:t>a Comisiei Europene cu relevanță</w:t>
      </w:r>
      <w:r w:rsidRPr="00187DFA">
        <w:rPr>
          <w:rStyle w:val="Hyperlink"/>
          <w:rFonts w:cs="Arial"/>
          <w:color w:val="auto"/>
        </w:rPr>
        <w:t xml:space="preserve"> pentru</w:t>
      </w:r>
      <w:r w:rsidR="009B4C36">
        <w:rPr>
          <w:rStyle w:val="Hyperlink"/>
          <w:rFonts w:cs="Arial"/>
          <w:color w:val="auto"/>
        </w:rPr>
        <w:t xml:space="preserve"> </w:t>
      </w:r>
      <w:r w:rsidRPr="00187DFA">
        <w:rPr>
          <w:rStyle w:val="Hyperlink"/>
          <w:rFonts w:cs="Arial"/>
          <w:color w:val="auto"/>
        </w:rPr>
        <w:t>/</w:t>
      </w:r>
      <w:r w:rsidR="009B4C36">
        <w:rPr>
          <w:rStyle w:val="Hyperlink"/>
          <w:rFonts w:cs="Arial"/>
          <w:color w:val="auto"/>
        </w:rPr>
        <w:t xml:space="preserve"> </w:t>
      </w:r>
      <w:r w:rsidRPr="00187DFA">
        <w:rPr>
          <w:rStyle w:val="Hyperlink"/>
          <w:rFonts w:cs="Arial"/>
          <w:color w:val="auto"/>
        </w:rPr>
        <w:t>și pentru domeniul transporturilor rutiere</w:t>
      </w:r>
      <w:r w:rsidR="009B4C36">
        <w:rPr>
          <w:rStyle w:val="Hyperlink"/>
          <w:rFonts w:cs="Arial"/>
          <w:color w:val="auto"/>
        </w:rPr>
        <w:t>:</w:t>
      </w:r>
    </w:p>
    <w:p w:rsidR="00773781" w:rsidRDefault="00773781" w:rsidP="00BB68B3">
      <w:pPr>
        <w:pStyle w:val="ListParagraph"/>
        <w:ind w:left="900" w:right="243"/>
        <w:rPr>
          <w:rStyle w:val="Hyperlink"/>
          <w:rFonts w:cs="Arial"/>
          <w:color w:val="auto"/>
        </w:rPr>
      </w:pPr>
    </w:p>
    <w:p w:rsidR="00773781" w:rsidRPr="009B4C36" w:rsidRDefault="00773781" w:rsidP="009B4C36">
      <w:pPr>
        <w:pStyle w:val="ListParagraph"/>
        <w:spacing w:after="0" w:line="240" w:lineRule="auto"/>
        <w:ind w:left="907" w:right="245"/>
        <w:rPr>
          <w:rStyle w:val="Hyperlink"/>
          <w:color w:val="auto"/>
          <w:u w:val="none"/>
        </w:rPr>
      </w:pPr>
      <w:r w:rsidRPr="009B4C36">
        <w:rPr>
          <w:rStyle w:val="Hyperlink"/>
          <w:rFonts w:cs="Arial"/>
          <w:color w:val="auto"/>
          <w:u w:val="none"/>
        </w:rPr>
        <w:t>Transport rutier:</w:t>
      </w:r>
    </w:p>
    <w:p w:rsidR="00773781" w:rsidRDefault="00B61F9B" w:rsidP="00BB68B3">
      <w:pPr>
        <w:ind w:left="900" w:right="243"/>
      </w:pPr>
      <w:hyperlink r:id="rId19" w:history="1">
        <w:r w:rsidR="00773781">
          <w:rPr>
            <w:rStyle w:val="Hyperlink"/>
          </w:rPr>
          <w:t>https://ec.europa.eu/info/sites/info/files/file_import/road_transport_ro.pdf</w:t>
        </w:r>
      </w:hyperlink>
    </w:p>
    <w:p w:rsidR="00773781" w:rsidRDefault="00773781" w:rsidP="009B4C36">
      <w:pPr>
        <w:spacing w:after="0" w:line="240" w:lineRule="auto"/>
        <w:ind w:left="907" w:right="245"/>
      </w:pPr>
      <w:r>
        <w:t>Tahografele în transportul rutier:</w:t>
      </w:r>
    </w:p>
    <w:p w:rsidR="00773781" w:rsidRDefault="00B61F9B" w:rsidP="00BB68B3">
      <w:pPr>
        <w:ind w:right="243" w:firstLine="900"/>
      </w:pPr>
      <w:hyperlink r:id="rId20" w:history="1">
        <w:r w:rsidR="00BB68B3" w:rsidRPr="00074964">
          <w:rPr>
            <w:rStyle w:val="Hyperlink"/>
          </w:rPr>
          <w:t>https://ec.europa.eu/info/sites/info/files/tachographs_en.pdf</w:t>
        </w:r>
      </w:hyperlink>
    </w:p>
    <w:p w:rsidR="00773781" w:rsidRDefault="00773781" w:rsidP="009B4C36">
      <w:pPr>
        <w:spacing w:after="0" w:line="240" w:lineRule="auto"/>
        <w:ind w:left="907" w:right="245"/>
      </w:pPr>
      <w:r>
        <w:t>Echipamente sub presiune transportabile:</w:t>
      </w:r>
    </w:p>
    <w:p w:rsidR="00773781" w:rsidRDefault="00B61F9B" w:rsidP="00BB68B3">
      <w:pPr>
        <w:ind w:left="900" w:right="243"/>
      </w:pPr>
      <w:hyperlink r:id="rId21" w:history="1">
        <w:r w:rsidR="00773781">
          <w:rPr>
            <w:rStyle w:val="Hyperlink"/>
          </w:rPr>
          <w:t>https://ec.europa.eu/info/sites/info/files/notice-transportable-pressure-equipment_en.pdf</w:t>
        </w:r>
      </w:hyperlink>
    </w:p>
    <w:p w:rsidR="00773781" w:rsidRPr="00187DFA" w:rsidRDefault="00773781" w:rsidP="00BB68B3">
      <w:pPr>
        <w:pStyle w:val="ListParagraph"/>
        <w:numPr>
          <w:ilvl w:val="0"/>
          <w:numId w:val="5"/>
        </w:numPr>
        <w:spacing w:before="0" w:after="120"/>
        <w:ind w:left="900" w:right="243" w:hanging="450"/>
        <w:rPr>
          <w:rStyle w:val="Hyperlink"/>
          <w:color w:val="auto"/>
        </w:rPr>
      </w:pPr>
      <w:r w:rsidRPr="00187DFA">
        <w:rPr>
          <w:rStyle w:val="Hyperlink"/>
          <w:rFonts w:cs="Arial"/>
          <w:b/>
          <w:color w:val="auto"/>
        </w:rPr>
        <w:t>aviz</w:t>
      </w:r>
      <w:r>
        <w:rPr>
          <w:rStyle w:val="Hyperlink"/>
          <w:rFonts w:cs="Arial"/>
          <w:b/>
          <w:color w:val="auto"/>
        </w:rPr>
        <w:t>ul</w:t>
      </w:r>
      <w:r w:rsidRPr="00187DFA">
        <w:rPr>
          <w:rStyle w:val="Hyperlink"/>
          <w:rFonts w:cs="Arial"/>
          <w:b/>
          <w:color w:val="auto"/>
        </w:rPr>
        <w:t xml:space="preserve"> </w:t>
      </w:r>
      <w:r>
        <w:rPr>
          <w:rStyle w:val="Hyperlink"/>
          <w:rFonts w:cs="Arial"/>
          <w:b/>
          <w:color w:val="auto"/>
        </w:rPr>
        <w:t>elaborat</w:t>
      </w:r>
      <w:r w:rsidRPr="00187DFA">
        <w:rPr>
          <w:rStyle w:val="Hyperlink"/>
          <w:rFonts w:cs="Arial"/>
          <w:b/>
          <w:color w:val="auto"/>
        </w:rPr>
        <w:t xml:space="preserve"> de către </w:t>
      </w:r>
      <w:r>
        <w:rPr>
          <w:rStyle w:val="Hyperlink"/>
          <w:rFonts w:cs="Arial"/>
          <w:b/>
          <w:color w:val="auto"/>
        </w:rPr>
        <w:t xml:space="preserve">mai multe direcții ale Comisiei Europene, inclusiv </w:t>
      </w:r>
      <w:r w:rsidRPr="00187DFA">
        <w:rPr>
          <w:rStyle w:val="Hyperlink"/>
          <w:rFonts w:cs="Arial"/>
          <w:color w:val="auto"/>
        </w:rPr>
        <w:t xml:space="preserve"> </w:t>
      </w:r>
      <w:r>
        <w:rPr>
          <w:rStyle w:val="Hyperlink"/>
          <w:rFonts w:cs="Arial"/>
          <w:color w:val="auto"/>
        </w:rPr>
        <w:t>DG MOVE, cu relevanță</w:t>
      </w:r>
      <w:r w:rsidRPr="00187DFA">
        <w:rPr>
          <w:rStyle w:val="Hyperlink"/>
          <w:rFonts w:cs="Arial"/>
          <w:color w:val="auto"/>
        </w:rPr>
        <w:t xml:space="preserve"> și pentru d</w:t>
      </w:r>
      <w:r>
        <w:rPr>
          <w:rStyle w:val="Hyperlink"/>
          <w:rFonts w:cs="Arial"/>
          <w:color w:val="auto"/>
        </w:rPr>
        <w:t>omeniul transporturilor rutiere</w:t>
      </w:r>
    </w:p>
    <w:p w:rsidR="00773781" w:rsidRDefault="00773781" w:rsidP="009B4C36">
      <w:pPr>
        <w:spacing w:after="0" w:line="240" w:lineRule="auto"/>
        <w:ind w:firstLine="907"/>
      </w:pPr>
      <w:r>
        <w:t>Călătoriile:</w:t>
      </w:r>
    </w:p>
    <w:p w:rsidR="00773781" w:rsidRDefault="00B61F9B" w:rsidP="006B11AA">
      <w:pPr>
        <w:ind w:firstLine="900"/>
      </w:pPr>
      <w:hyperlink r:id="rId22" w:history="1">
        <w:r w:rsidR="006B11AA" w:rsidRPr="00074964">
          <w:rPr>
            <w:rStyle w:val="Hyperlink"/>
          </w:rPr>
          <w:t>https://ec.europa.eu/info/sites/info/files/travelling_en.pdf</w:t>
        </w:r>
      </w:hyperlink>
      <w:r w:rsidR="00773781">
        <w:t xml:space="preserve"> </w:t>
      </w:r>
    </w:p>
    <w:p w:rsidR="00773781" w:rsidRPr="00187DFA" w:rsidRDefault="00773781" w:rsidP="006B11AA">
      <w:pPr>
        <w:pStyle w:val="ListParagraph"/>
        <w:numPr>
          <w:ilvl w:val="0"/>
          <w:numId w:val="5"/>
        </w:numPr>
        <w:spacing w:before="0" w:after="120"/>
        <w:ind w:left="900" w:right="243" w:hanging="450"/>
        <w:rPr>
          <w:rStyle w:val="Hyperlink"/>
          <w:color w:val="auto"/>
        </w:rPr>
      </w:pPr>
      <w:r w:rsidRPr="00187DFA">
        <w:rPr>
          <w:rStyle w:val="Hyperlink"/>
          <w:rFonts w:cs="Arial"/>
          <w:b/>
          <w:color w:val="auto"/>
        </w:rPr>
        <w:t>aviz</w:t>
      </w:r>
      <w:r>
        <w:rPr>
          <w:rStyle w:val="Hyperlink"/>
          <w:rFonts w:cs="Arial"/>
          <w:b/>
          <w:color w:val="auto"/>
        </w:rPr>
        <w:t>ul</w:t>
      </w:r>
      <w:r w:rsidRPr="00187DFA">
        <w:rPr>
          <w:rStyle w:val="Hyperlink"/>
          <w:rFonts w:cs="Arial"/>
          <w:b/>
          <w:color w:val="auto"/>
        </w:rPr>
        <w:t xml:space="preserve"> </w:t>
      </w:r>
      <w:r>
        <w:rPr>
          <w:rStyle w:val="Hyperlink"/>
          <w:rFonts w:cs="Arial"/>
          <w:b/>
          <w:color w:val="auto"/>
        </w:rPr>
        <w:t>elaborat</w:t>
      </w:r>
      <w:r w:rsidRPr="00187DFA">
        <w:rPr>
          <w:rStyle w:val="Hyperlink"/>
          <w:rFonts w:cs="Arial"/>
          <w:b/>
          <w:color w:val="auto"/>
        </w:rPr>
        <w:t xml:space="preserve"> de </w:t>
      </w:r>
      <w:r>
        <w:rPr>
          <w:rStyle w:val="Hyperlink"/>
          <w:rFonts w:cs="Arial"/>
          <w:b/>
          <w:color w:val="auto"/>
        </w:rPr>
        <w:t>către direcțiile DG JUST și DG MOVE ale Comisiei Europene,</w:t>
      </w:r>
      <w:r>
        <w:rPr>
          <w:rStyle w:val="Hyperlink"/>
          <w:rFonts w:cs="Arial"/>
          <w:color w:val="auto"/>
        </w:rPr>
        <w:t xml:space="preserve"> cu relevanță</w:t>
      </w:r>
      <w:r w:rsidRPr="00187DFA">
        <w:rPr>
          <w:rStyle w:val="Hyperlink"/>
          <w:rFonts w:cs="Arial"/>
          <w:color w:val="auto"/>
        </w:rPr>
        <w:t xml:space="preserve"> și pentru domeniul transporturilor rutiere</w:t>
      </w:r>
    </w:p>
    <w:p w:rsidR="00773781" w:rsidRDefault="00773781" w:rsidP="009B4C36">
      <w:pPr>
        <w:spacing w:after="0" w:line="240" w:lineRule="auto"/>
        <w:ind w:left="907"/>
      </w:pPr>
      <w:r>
        <w:t>Protecția consumatorilor și drepturile pasagerilor:</w:t>
      </w:r>
    </w:p>
    <w:p w:rsidR="00773781" w:rsidRDefault="00B61F9B" w:rsidP="006B11AA">
      <w:pPr>
        <w:ind w:left="900"/>
        <w:rPr>
          <w:rStyle w:val="Hyperlink"/>
        </w:rPr>
      </w:pPr>
      <w:hyperlink r:id="rId23" w:history="1">
        <w:r w:rsidR="00773781">
          <w:rPr>
            <w:rStyle w:val="Hyperlink"/>
          </w:rPr>
          <w:t>https://ec.europa.eu/info/sites/info/files/file_import/consumer_protection_and_passenger_rights_ro.pdf</w:t>
        </w:r>
      </w:hyperlink>
    </w:p>
    <w:p w:rsidR="00773781" w:rsidRPr="006073FB" w:rsidRDefault="00773781" w:rsidP="006B11AA">
      <w:pPr>
        <w:pStyle w:val="ListParagraph"/>
        <w:numPr>
          <w:ilvl w:val="0"/>
          <w:numId w:val="5"/>
        </w:numPr>
        <w:spacing w:before="0" w:after="120"/>
        <w:ind w:left="900" w:right="243" w:hanging="450"/>
        <w:rPr>
          <w:rStyle w:val="Hyperlink"/>
          <w:i/>
          <w:color w:val="auto"/>
        </w:rPr>
      </w:pPr>
      <w:r>
        <w:rPr>
          <w:rStyle w:val="Hyperlink"/>
          <w:rFonts w:cs="Arial"/>
          <w:b/>
          <w:color w:val="auto"/>
        </w:rPr>
        <w:t>o listă de</w:t>
      </w:r>
      <w:r w:rsidRPr="00B174BD">
        <w:rPr>
          <w:rStyle w:val="Hyperlink"/>
          <w:rFonts w:cs="Arial"/>
          <w:color w:val="auto"/>
          <w:u w:val="none"/>
        </w:rPr>
        <w:t xml:space="preserve"> “</w:t>
      </w:r>
      <w:r>
        <w:rPr>
          <w:i/>
        </w:rPr>
        <w:t>Î</w:t>
      </w:r>
      <w:r w:rsidRPr="006073FB">
        <w:rPr>
          <w:i/>
        </w:rPr>
        <w:t xml:space="preserve">ntrebări și răspunsuri referitoare la retragerea </w:t>
      </w:r>
      <w:r>
        <w:rPr>
          <w:i/>
        </w:rPr>
        <w:t>R</w:t>
      </w:r>
      <w:r w:rsidRPr="006073FB">
        <w:rPr>
          <w:i/>
        </w:rPr>
        <w:t xml:space="preserve">egatului </w:t>
      </w:r>
      <w:r>
        <w:rPr>
          <w:i/>
        </w:rPr>
        <w:t>U</w:t>
      </w:r>
      <w:r w:rsidRPr="006073FB">
        <w:rPr>
          <w:i/>
        </w:rPr>
        <w:t xml:space="preserve">nit din </w:t>
      </w:r>
      <w:r>
        <w:rPr>
          <w:i/>
        </w:rPr>
        <w:t>U</w:t>
      </w:r>
      <w:r w:rsidRPr="006073FB">
        <w:rPr>
          <w:i/>
        </w:rPr>
        <w:t xml:space="preserve">niunea </w:t>
      </w:r>
      <w:r>
        <w:rPr>
          <w:i/>
        </w:rPr>
        <w:t>E</w:t>
      </w:r>
      <w:r w:rsidRPr="006073FB">
        <w:rPr>
          <w:i/>
        </w:rPr>
        <w:t>uropeană în ceea ce privește omologarea de tip a vehiculelor, a sistemelor, a componentelor și a unităților tehnice separate</w:t>
      </w:r>
      <w:r>
        <w:rPr>
          <w:i/>
        </w:rPr>
        <w:t xml:space="preserve">” </w:t>
      </w:r>
      <w:r>
        <w:rPr>
          <w:rStyle w:val="Hyperlink"/>
          <w:rFonts w:cs="Arial"/>
          <w:b/>
          <w:color w:val="auto"/>
        </w:rPr>
        <w:t>elaborată de către Direcția DG GROW a Comisiei Europene:</w:t>
      </w:r>
    </w:p>
    <w:p w:rsidR="00773781" w:rsidRDefault="00B61F9B" w:rsidP="006B11AA">
      <w:pPr>
        <w:pStyle w:val="ListParagraph"/>
        <w:ind w:left="900" w:right="243"/>
      </w:pPr>
      <w:hyperlink r:id="rId24" w:history="1">
        <w:r w:rsidR="00773781">
          <w:rPr>
            <w:rStyle w:val="Hyperlink"/>
          </w:rPr>
          <w:t>https://ec.europa.eu/info/sites/info/files/file_import/type-approval-motor-vehicles-certain-other-vehicles-engines-questions-answers_ro.pdf</w:t>
        </w:r>
      </w:hyperlink>
    </w:p>
    <w:p w:rsidR="00773781" w:rsidRPr="006073FB" w:rsidRDefault="00773781" w:rsidP="00773781">
      <w:pPr>
        <w:pStyle w:val="ListParagraph"/>
        <w:ind w:left="2160" w:right="243"/>
        <w:rPr>
          <w:i/>
        </w:rPr>
      </w:pPr>
    </w:p>
    <w:p w:rsidR="0068581C" w:rsidRPr="0068581C" w:rsidRDefault="00B61F9B" w:rsidP="006B11AA">
      <w:pPr>
        <w:pStyle w:val="ListParagraph"/>
        <w:numPr>
          <w:ilvl w:val="0"/>
          <w:numId w:val="5"/>
        </w:numPr>
        <w:spacing w:before="0" w:after="120"/>
        <w:ind w:left="900" w:hanging="450"/>
        <w:rPr>
          <w:rFonts w:cs="Times New Roman"/>
          <w:color w:val="auto"/>
          <w:u w:val="single"/>
        </w:rPr>
      </w:pPr>
      <w:hyperlink r:id="rId25" w:history="1">
        <w:r w:rsidR="00773781" w:rsidRPr="00942F3A">
          <w:rPr>
            <w:rStyle w:val="Hyperlink"/>
            <w:rFonts w:cs="Arial"/>
            <w:color w:val="auto"/>
          </w:rPr>
          <w:t>Fișe informative privind călătoriile, drepturile cetățenilor, studiile și drepturile consumatorilor</w:t>
        </w:r>
      </w:hyperlink>
      <w:r w:rsidR="000402CA">
        <w:rPr>
          <w:rStyle w:val="Hyperlink"/>
          <w:rFonts w:cs="Arial"/>
          <w:color w:val="auto"/>
        </w:rPr>
        <w:t>:</w:t>
      </w:r>
    </w:p>
    <w:p w:rsidR="00773781" w:rsidRPr="00197A73" w:rsidRDefault="00B61F9B" w:rsidP="0068581C">
      <w:pPr>
        <w:pStyle w:val="ListParagraph"/>
        <w:spacing w:before="0" w:after="120"/>
        <w:ind w:left="900"/>
        <w:rPr>
          <w:rStyle w:val="Hyperlink"/>
          <w:color w:val="auto"/>
        </w:rPr>
      </w:pPr>
      <w:hyperlink r:id="rId26" w:history="1">
        <w:r w:rsidR="000402CA">
          <w:rPr>
            <w:rStyle w:val="Hyperlink"/>
          </w:rPr>
          <w:t>https://ec.europa.eu/info/publications/factsheets-and-questions-and-answers_ro</w:t>
        </w:r>
      </w:hyperlink>
    </w:p>
    <w:p w:rsidR="00A21E43" w:rsidRPr="00A21E43" w:rsidRDefault="00A21E43" w:rsidP="00A21E43">
      <w:pPr>
        <w:pStyle w:val="ListParagraph"/>
        <w:spacing w:before="0" w:after="0" w:line="240" w:lineRule="auto"/>
        <w:ind w:left="900"/>
        <w:rPr>
          <w:rFonts w:cs="Arial"/>
          <w:color w:val="004494"/>
          <w:u w:val="single"/>
        </w:rPr>
      </w:pPr>
    </w:p>
    <w:p w:rsidR="00652419" w:rsidRPr="00652419" w:rsidRDefault="00773781" w:rsidP="006B11AA">
      <w:pPr>
        <w:pStyle w:val="ListParagraph"/>
        <w:numPr>
          <w:ilvl w:val="0"/>
          <w:numId w:val="5"/>
        </w:numPr>
        <w:spacing w:before="0" w:after="0" w:line="240" w:lineRule="auto"/>
        <w:ind w:left="900" w:hanging="450"/>
        <w:rPr>
          <w:rFonts w:cs="Arial"/>
          <w:color w:val="004494"/>
          <w:u w:val="single"/>
        </w:rPr>
      </w:pPr>
      <w:r w:rsidRPr="008B7456">
        <w:rPr>
          <w:shd w:val="clear" w:color="auto" w:fill="FFFFFF"/>
        </w:rPr>
        <w:t xml:space="preserve">pagina de internet a </w:t>
      </w:r>
      <w:r w:rsidRPr="008B7456">
        <w:rPr>
          <w:rFonts w:cs="Arial"/>
          <w:shd w:val="clear" w:color="auto" w:fill="FFFFFF"/>
        </w:rPr>
        <w:t xml:space="preserve">Ministerului pentru Mediul de Afaceri, Comerț și </w:t>
      </w:r>
      <w:proofErr w:type="spellStart"/>
      <w:r w:rsidRPr="008B7456">
        <w:rPr>
          <w:rFonts w:cs="Arial"/>
          <w:shd w:val="clear" w:color="auto" w:fill="FFFFFF"/>
        </w:rPr>
        <w:t>Antreprenoriat</w:t>
      </w:r>
      <w:proofErr w:type="spellEnd"/>
      <w:r w:rsidRPr="008B7456">
        <w:rPr>
          <w:rFonts w:cs="Arial"/>
          <w:shd w:val="clear" w:color="auto" w:fill="FFFFFF"/>
        </w:rPr>
        <w:t>:</w:t>
      </w:r>
    </w:p>
    <w:p w:rsidR="00773781" w:rsidRPr="00197A73" w:rsidRDefault="00B61F9B" w:rsidP="00652419">
      <w:pPr>
        <w:pStyle w:val="ListParagraph"/>
        <w:spacing w:before="0" w:after="0" w:line="240" w:lineRule="auto"/>
        <w:ind w:left="900"/>
        <w:rPr>
          <w:rStyle w:val="Hyperlink"/>
          <w:rFonts w:cs="Arial"/>
          <w:color w:val="004494"/>
        </w:rPr>
      </w:pPr>
      <w:hyperlink r:id="rId27" w:history="1">
        <w:r w:rsidR="00773781">
          <w:rPr>
            <w:rStyle w:val="Hyperlink"/>
          </w:rPr>
          <w:t>http://www.imm.gov.ro/mmaca/brexit/</w:t>
        </w:r>
      </w:hyperlink>
    </w:p>
    <w:p w:rsidR="00773781" w:rsidRPr="00197A73" w:rsidRDefault="00773781" w:rsidP="006B11AA">
      <w:pPr>
        <w:spacing w:after="0" w:line="240" w:lineRule="auto"/>
        <w:ind w:left="900"/>
        <w:rPr>
          <w:rStyle w:val="Hyperlink"/>
          <w:rFonts w:cs="Arial"/>
          <w:color w:val="004494"/>
        </w:rPr>
      </w:pPr>
    </w:p>
    <w:p w:rsidR="00652419" w:rsidRPr="00652419" w:rsidRDefault="00773781" w:rsidP="00684366">
      <w:pPr>
        <w:pStyle w:val="ListParagraph"/>
        <w:numPr>
          <w:ilvl w:val="0"/>
          <w:numId w:val="5"/>
        </w:numPr>
        <w:spacing w:before="0" w:after="0" w:line="240" w:lineRule="auto"/>
        <w:ind w:left="900" w:hanging="450"/>
        <w:rPr>
          <w:rFonts w:cs="Arial"/>
          <w:color w:val="004494"/>
          <w:u w:val="single"/>
        </w:rPr>
      </w:pPr>
      <w:r w:rsidRPr="008B7456">
        <w:rPr>
          <w:shd w:val="clear" w:color="auto" w:fill="FFFFFF"/>
        </w:rPr>
        <w:t xml:space="preserve">pagina de internet a </w:t>
      </w:r>
      <w:r w:rsidRPr="008B7456">
        <w:rPr>
          <w:rFonts w:cs="Arial"/>
          <w:shd w:val="clear" w:color="auto" w:fill="FFFFFF"/>
        </w:rPr>
        <w:t xml:space="preserve">Ministerului </w:t>
      </w:r>
      <w:r>
        <w:rPr>
          <w:rFonts w:cs="Arial"/>
          <w:shd w:val="clear" w:color="auto" w:fill="FFFFFF"/>
        </w:rPr>
        <w:t>Afaceri</w:t>
      </w:r>
      <w:r w:rsidR="006B11AA">
        <w:rPr>
          <w:rFonts w:cs="Arial"/>
          <w:shd w:val="clear" w:color="auto" w:fill="FFFFFF"/>
        </w:rPr>
        <w:t>lor</w:t>
      </w:r>
      <w:r>
        <w:rPr>
          <w:rFonts w:cs="Arial"/>
          <w:shd w:val="clear" w:color="auto" w:fill="FFFFFF"/>
        </w:rPr>
        <w:t xml:space="preserve"> E</w:t>
      </w:r>
      <w:r w:rsidR="006B11AA">
        <w:rPr>
          <w:rFonts w:cs="Arial"/>
          <w:shd w:val="clear" w:color="auto" w:fill="FFFFFF"/>
        </w:rPr>
        <w:t>xtern</w:t>
      </w:r>
      <w:r w:rsidR="00B174BD">
        <w:rPr>
          <w:rFonts w:cs="Arial"/>
          <w:shd w:val="clear" w:color="auto" w:fill="FFFFFF"/>
        </w:rPr>
        <w:t>e</w:t>
      </w:r>
      <w:r w:rsidR="00652419">
        <w:rPr>
          <w:rFonts w:cs="Arial"/>
          <w:shd w:val="clear" w:color="auto" w:fill="FFFFFF"/>
        </w:rPr>
        <w:t xml:space="preserve"> al României</w:t>
      </w:r>
      <w:r w:rsidRPr="008B7456">
        <w:rPr>
          <w:rFonts w:cs="Arial"/>
          <w:shd w:val="clear" w:color="auto" w:fill="FFFFFF"/>
        </w:rPr>
        <w:t>:</w:t>
      </w:r>
    </w:p>
    <w:p w:rsidR="00684366" w:rsidRPr="00684366" w:rsidRDefault="00773781" w:rsidP="00652419">
      <w:pPr>
        <w:pStyle w:val="ListParagraph"/>
        <w:spacing w:before="0" w:after="0" w:line="240" w:lineRule="auto"/>
        <w:ind w:left="900"/>
        <w:rPr>
          <w:rStyle w:val="Hyperlink"/>
          <w:rFonts w:cs="Arial"/>
          <w:color w:val="004494"/>
        </w:rPr>
      </w:pPr>
      <w:r w:rsidRPr="008B7456">
        <w:rPr>
          <w:rFonts w:ascii="Arial" w:hAnsi="Arial" w:cs="Arial"/>
          <w:color w:val="565656"/>
          <w:sz w:val="18"/>
          <w:szCs w:val="18"/>
          <w:shd w:val="clear" w:color="auto" w:fill="FFFFFF"/>
        </w:rPr>
        <w:lastRenderedPageBreak/>
        <w:t xml:space="preserve"> </w:t>
      </w:r>
      <w:hyperlink r:id="rId28" w:history="1">
        <w:r>
          <w:rPr>
            <w:rStyle w:val="Hyperlink"/>
          </w:rPr>
          <w:t>https://www.mae.ro/brexit</w:t>
        </w:r>
      </w:hyperlink>
    </w:p>
    <w:p w:rsidR="00684366" w:rsidRPr="00684366" w:rsidRDefault="00684366" w:rsidP="00684366">
      <w:pPr>
        <w:pStyle w:val="ListParagraph"/>
        <w:rPr>
          <w:rStyle w:val="Hyperlink"/>
          <w:rFonts w:cs="Arial"/>
          <w:color w:val="auto"/>
        </w:rPr>
      </w:pPr>
    </w:p>
    <w:p w:rsidR="00684366" w:rsidRPr="009B4C36" w:rsidRDefault="00773781" w:rsidP="008231D5">
      <w:pPr>
        <w:pStyle w:val="ListParagraph"/>
        <w:numPr>
          <w:ilvl w:val="0"/>
          <w:numId w:val="5"/>
        </w:numPr>
        <w:spacing w:before="0" w:after="0" w:line="240" w:lineRule="auto"/>
        <w:ind w:left="900" w:hanging="450"/>
        <w:rPr>
          <w:rStyle w:val="Hyperlink"/>
          <w:rFonts w:cs="Arial"/>
          <w:color w:val="004494"/>
        </w:rPr>
      </w:pPr>
      <w:r w:rsidRPr="009B4C36">
        <w:rPr>
          <w:rStyle w:val="Hyperlink"/>
          <w:rFonts w:cs="Arial"/>
          <w:color w:val="auto"/>
        </w:rPr>
        <w:t>pagina de internet a Guvernului britanic</w:t>
      </w:r>
      <w:r w:rsidR="00652419" w:rsidRPr="009B4C36">
        <w:rPr>
          <w:rStyle w:val="Hyperlink"/>
          <w:rFonts w:cs="Arial"/>
          <w:color w:val="auto"/>
        </w:rPr>
        <w:t>:</w:t>
      </w:r>
      <w:r w:rsidR="009B4C36" w:rsidRPr="009B4C36">
        <w:rPr>
          <w:rStyle w:val="Hyperlink"/>
          <w:rFonts w:cs="Arial"/>
          <w:color w:val="auto"/>
        </w:rPr>
        <w:t xml:space="preserve"> </w:t>
      </w:r>
      <w:hyperlink r:id="rId29" w:history="1">
        <w:r>
          <w:rPr>
            <w:rStyle w:val="Hyperlink"/>
          </w:rPr>
          <w:t>https://www.gov.uk/brexit</w:t>
        </w:r>
      </w:hyperlink>
      <w:r w:rsidR="00652419" w:rsidRPr="009B4C36">
        <w:rPr>
          <w:rStyle w:val="Hyperlink"/>
          <w:u w:val="none"/>
        </w:rPr>
        <w:t xml:space="preserve"> ,</w:t>
      </w:r>
      <w:r w:rsidRPr="009B4C36">
        <w:rPr>
          <w:rStyle w:val="Hyperlink"/>
          <w:rFonts w:cs="Arial"/>
          <w:color w:val="004494"/>
          <w:u w:val="none"/>
        </w:rPr>
        <w:t xml:space="preserve"> </w:t>
      </w:r>
      <w:r w:rsidRPr="009B4C36">
        <w:rPr>
          <w:rStyle w:val="Hyperlink"/>
          <w:rFonts w:cs="Arial"/>
          <w:color w:val="auto"/>
        </w:rPr>
        <w:t xml:space="preserve">unde pot fi accesate și informații de interes pentru </w:t>
      </w:r>
      <w:r w:rsidR="00684366" w:rsidRPr="009B4C36">
        <w:rPr>
          <w:rStyle w:val="Hyperlink"/>
          <w:rFonts w:cs="Arial"/>
          <w:color w:val="auto"/>
        </w:rPr>
        <w:t>operatorii de transport rutier</w:t>
      </w:r>
      <w:r w:rsidR="00652419" w:rsidRPr="009B4C36">
        <w:rPr>
          <w:rStyle w:val="Hyperlink"/>
          <w:rFonts w:cs="Arial"/>
          <w:color w:val="auto"/>
        </w:rPr>
        <w:t>,</w:t>
      </w:r>
      <w:r w:rsidR="00684366" w:rsidRPr="009B4C36">
        <w:rPr>
          <w:rStyle w:val="Hyperlink"/>
          <w:rFonts w:cs="Arial"/>
          <w:color w:val="auto"/>
        </w:rPr>
        <w:t xml:space="preserve"> de </w:t>
      </w:r>
      <w:r w:rsidRPr="009B4C36">
        <w:rPr>
          <w:rStyle w:val="Hyperlink"/>
          <w:rFonts w:cs="Arial"/>
          <w:color w:val="auto"/>
        </w:rPr>
        <w:t>ex</w:t>
      </w:r>
      <w:r w:rsidR="0068581C" w:rsidRPr="009B4C36">
        <w:rPr>
          <w:rStyle w:val="Hyperlink"/>
          <w:rFonts w:cs="Arial"/>
          <w:color w:val="auto"/>
        </w:rPr>
        <w:t>emplu</w:t>
      </w:r>
      <w:r w:rsidR="00684366" w:rsidRPr="009B4C36">
        <w:rPr>
          <w:rStyle w:val="Hyperlink"/>
          <w:rFonts w:cs="Arial"/>
          <w:color w:val="auto"/>
        </w:rPr>
        <w:t>:</w:t>
      </w:r>
    </w:p>
    <w:p w:rsidR="002F539B" w:rsidRPr="00684366" w:rsidRDefault="00B61F9B" w:rsidP="0068581C">
      <w:pPr>
        <w:pStyle w:val="ListParagraph"/>
        <w:numPr>
          <w:ilvl w:val="0"/>
          <w:numId w:val="7"/>
        </w:numPr>
        <w:spacing w:before="120" w:after="120" w:line="240" w:lineRule="auto"/>
        <w:rPr>
          <w:rFonts w:cs="Arial"/>
          <w:color w:val="004494"/>
          <w:u w:val="single"/>
        </w:rPr>
      </w:pPr>
      <w:hyperlink r:id="rId30" w:history="1">
        <w:r w:rsidR="00684366" w:rsidRPr="0061249B">
          <w:rPr>
            <w:rStyle w:val="Hyperlink"/>
          </w:rPr>
          <w:t>https://www.gov.uk/government/news/boost-for-hauliers-brexit-preparation-as-multi-million-pound-campaign-launched</w:t>
        </w:r>
        <w:r w:rsidR="00684366" w:rsidRPr="0061249B">
          <w:rPr>
            <w:rStyle w:val="Hyperlink"/>
            <w:rFonts w:cs="Open Sans"/>
          </w:rPr>
          <w:t>)</w:t>
        </w:r>
      </w:hyperlink>
      <w:r w:rsidR="00773781">
        <w:t>”</w:t>
      </w:r>
      <w:r w:rsidR="002F539B" w:rsidRPr="00684366">
        <w:rPr>
          <w:bCs/>
        </w:rPr>
        <w:t>.</w:t>
      </w:r>
    </w:p>
    <w:p w:rsidR="002F539B" w:rsidRPr="0068581C" w:rsidRDefault="00B61F9B" w:rsidP="0068581C">
      <w:pPr>
        <w:pStyle w:val="ListParagraph"/>
        <w:numPr>
          <w:ilvl w:val="0"/>
          <w:numId w:val="7"/>
        </w:numPr>
        <w:spacing w:before="120" w:after="120" w:line="360" w:lineRule="auto"/>
        <w:ind w:right="72"/>
        <w:rPr>
          <w:bCs/>
        </w:rPr>
      </w:pPr>
      <w:hyperlink r:id="rId31" w:history="1">
        <w:r w:rsidR="00684366">
          <w:rPr>
            <w:rStyle w:val="Hyperlink"/>
          </w:rPr>
          <w:t>https://www.gov.uk/transport-goods-from-uk-by-road</w:t>
        </w:r>
      </w:hyperlink>
    </w:p>
    <w:p w:rsidR="0068581C" w:rsidRPr="0068581C" w:rsidRDefault="0068581C" w:rsidP="0068581C">
      <w:pPr>
        <w:pStyle w:val="ListParagraph"/>
        <w:numPr>
          <w:ilvl w:val="0"/>
          <w:numId w:val="6"/>
        </w:numPr>
        <w:spacing w:before="120" w:after="120" w:line="360" w:lineRule="auto"/>
        <w:ind w:left="900" w:right="72" w:hanging="450"/>
        <w:rPr>
          <w:rStyle w:val="Hyperlink"/>
          <w:rFonts w:cs="Open Sans"/>
          <w:bCs/>
          <w:color w:val="000000"/>
          <w:u w:val="none"/>
        </w:rPr>
      </w:pPr>
      <w:r w:rsidRPr="0068581C">
        <w:rPr>
          <w:rStyle w:val="Hyperlink"/>
          <w:rFonts w:cs="Arial"/>
          <w:color w:val="auto"/>
        </w:rPr>
        <w:t>pagina de internet a vămii din Franța:</w:t>
      </w:r>
    </w:p>
    <w:p w:rsidR="0068581C" w:rsidRDefault="00B61F9B" w:rsidP="009B4C36">
      <w:pPr>
        <w:pStyle w:val="ListParagraph"/>
        <w:spacing w:before="0" w:after="0" w:line="240" w:lineRule="auto"/>
        <w:ind w:left="907" w:right="72"/>
      </w:pPr>
      <w:hyperlink r:id="rId32" w:history="1">
        <w:r w:rsidR="0068581C">
          <w:rPr>
            <w:rStyle w:val="Hyperlink"/>
          </w:rPr>
          <w:t>http://www.douane.gouv.fr/articles/a16196-conducteurs-preparez-vous-au-brexit-</w:t>
        </w:r>
      </w:hyperlink>
      <w:r w:rsidR="0068581C">
        <w:t xml:space="preserve"> , unde pot fi găsite informații de interes, de exemplu:</w:t>
      </w:r>
    </w:p>
    <w:p w:rsidR="0068581C" w:rsidRPr="0068581C" w:rsidRDefault="00B61F9B" w:rsidP="009B4C36">
      <w:pPr>
        <w:pStyle w:val="ListParagraph"/>
        <w:numPr>
          <w:ilvl w:val="0"/>
          <w:numId w:val="7"/>
        </w:numPr>
        <w:spacing w:before="0" w:after="0" w:line="240" w:lineRule="auto"/>
        <w:ind w:left="1267" w:right="72"/>
        <w:rPr>
          <w:bCs/>
        </w:rPr>
      </w:pPr>
      <w:hyperlink r:id="rId33" w:history="1">
        <w:r w:rsidR="0068581C">
          <w:rPr>
            <w:rStyle w:val="Hyperlink"/>
          </w:rPr>
          <w:t>http://www.douane.gouv.fr/Portals/0/fichiers/douane/brexit/post-brexit-import-or-export.pdf</w:t>
        </w:r>
      </w:hyperlink>
    </w:p>
    <w:p w:rsidR="0068581C" w:rsidRPr="0068581C" w:rsidRDefault="00B61F9B" w:rsidP="009B4C36">
      <w:pPr>
        <w:pStyle w:val="ListParagraph"/>
        <w:numPr>
          <w:ilvl w:val="0"/>
          <w:numId w:val="7"/>
        </w:numPr>
        <w:spacing w:before="0" w:after="0" w:line="240" w:lineRule="auto"/>
        <w:ind w:left="1267" w:right="72"/>
        <w:rPr>
          <w:bCs/>
        </w:rPr>
      </w:pPr>
      <w:hyperlink r:id="rId34" w:history="1">
        <w:r w:rsidR="0068581C">
          <w:rPr>
            <w:rStyle w:val="Hyperlink"/>
          </w:rPr>
          <w:t>http://www.douane.gouv.fr/Portals/0/fichiers/douane/brexit/a-smart-border-for-smart-drivers.pdf</w:t>
        </w:r>
      </w:hyperlink>
      <w:r w:rsidR="00B945BF">
        <w:t xml:space="preserve"> ”</w:t>
      </w:r>
    </w:p>
    <w:p w:rsidR="009B4C36" w:rsidRDefault="009B4C36" w:rsidP="005913CC">
      <w:pPr>
        <w:spacing w:before="0" w:after="0" w:line="360" w:lineRule="auto"/>
      </w:pPr>
    </w:p>
    <w:p w:rsidR="00A21E43" w:rsidRDefault="00A21E43" w:rsidP="005913CC">
      <w:pPr>
        <w:spacing w:before="0" w:after="0" w:line="360" w:lineRule="auto"/>
      </w:pPr>
    </w:p>
    <w:sectPr w:rsidR="00A21E43" w:rsidSect="00B37BF4">
      <w:headerReference w:type="default" r:id="rId35"/>
      <w:footerReference w:type="default" r:id="rId36"/>
      <w:headerReference w:type="first" r:id="rId37"/>
      <w:footerReference w:type="first" r:id="rId38"/>
      <w:pgSz w:w="11906" w:h="16838" w:code="9"/>
      <w:pgMar w:top="2552" w:right="567" w:bottom="1134" w:left="2268" w:header="720" w:footer="47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F9B" w:rsidRDefault="00B61F9B" w:rsidP="009772BD">
      <w:r>
        <w:separator/>
      </w:r>
    </w:p>
  </w:endnote>
  <w:endnote w:type="continuationSeparator" w:id="0">
    <w:p w:rsidR="00B61F9B" w:rsidRDefault="00B61F9B"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Open Sans">
    <w:altName w:val="Verdana"/>
    <w:charset w:val="EE"/>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39" w:rsidRDefault="00E35939" w:rsidP="00B97E77">
    <w:pPr>
      <w:pStyle w:val="Footer"/>
      <w:spacing w:before="0"/>
      <w:rPr>
        <w:sz w:val="14"/>
        <w:szCs w:val="14"/>
        <w:lang w:val="pt-BR"/>
      </w:rPr>
    </w:pPr>
  </w:p>
  <w:p w:rsidR="00931E11" w:rsidRDefault="00931E11" w:rsidP="00B97E77">
    <w:pPr>
      <w:pStyle w:val="Footer"/>
      <w:spacing w:before="0"/>
      <w:rPr>
        <w:sz w:val="14"/>
        <w:szCs w:val="14"/>
        <w:lang w:val="pt-BR"/>
      </w:rPr>
    </w:pPr>
  </w:p>
  <w:p w:rsidR="00931E11" w:rsidRDefault="00931E11" w:rsidP="00B97E77">
    <w:pPr>
      <w:pStyle w:val="Footer"/>
      <w:spacing w:before="0"/>
      <w:rPr>
        <w:sz w:val="14"/>
        <w:szCs w:val="14"/>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89" w:type="dxa"/>
      <w:tblInd w:w="108" w:type="dxa"/>
      <w:tblLook w:val="04A0" w:firstRow="1" w:lastRow="0" w:firstColumn="1" w:lastColumn="0" w:noHBand="0" w:noVBand="1"/>
    </w:tblPr>
    <w:tblGrid>
      <w:gridCol w:w="6541"/>
      <w:gridCol w:w="4348"/>
    </w:tblGrid>
    <w:tr w:rsidR="00E55D00" w:rsidRPr="00F73D7D" w:rsidTr="00E55D00">
      <w:tc>
        <w:tcPr>
          <w:tcW w:w="10889" w:type="dxa"/>
          <w:gridSpan w:val="2"/>
          <w:shd w:val="clear" w:color="auto" w:fill="auto"/>
        </w:tcPr>
        <w:p w:rsidR="00E55D00" w:rsidRPr="00F73D7D" w:rsidRDefault="00E55D00" w:rsidP="00E55D00">
          <w:pPr>
            <w:pStyle w:val="NormalWeb"/>
            <w:spacing w:before="0" w:beforeAutospacing="0" w:after="0" w:afterAutospacing="0"/>
            <w:rPr>
              <w:b/>
            </w:rPr>
          </w:pPr>
        </w:p>
      </w:tc>
    </w:tr>
    <w:tr w:rsidR="00E55D00" w:rsidRPr="0086179A" w:rsidTr="00E55D00">
      <w:tc>
        <w:tcPr>
          <w:tcW w:w="6541" w:type="dxa"/>
          <w:shd w:val="clear" w:color="auto" w:fill="auto"/>
        </w:tcPr>
        <w:p w:rsidR="00E55D00" w:rsidRPr="00CA56EA" w:rsidRDefault="00E55D00" w:rsidP="00E55D00">
          <w:pPr>
            <w:pStyle w:val="Footer"/>
            <w:rPr>
              <w:sz w:val="6"/>
              <w:szCs w:val="10"/>
              <w:lang w:val="en-US"/>
            </w:rPr>
          </w:pPr>
        </w:p>
      </w:tc>
      <w:tc>
        <w:tcPr>
          <w:tcW w:w="4348" w:type="dxa"/>
          <w:shd w:val="clear" w:color="auto" w:fill="auto"/>
        </w:tcPr>
        <w:p w:rsidR="00E55D00" w:rsidRPr="0086179A" w:rsidRDefault="00E55D00" w:rsidP="00E55D00">
          <w:pPr>
            <w:spacing w:after="0" w:line="240" w:lineRule="auto"/>
            <w:rPr>
              <w:rFonts w:ascii="Calibri" w:hAnsi="Calibri"/>
              <w:b/>
              <w:sz w:val="6"/>
              <w:szCs w:val="10"/>
            </w:rPr>
          </w:pPr>
        </w:p>
      </w:tc>
    </w:tr>
  </w:tbl>
  <w:p w:rsidR="00B37BF4" w:rsidRDefault="00B37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F9B" w:rsidRDefault="00B61F9B" w:rsidP="009772BD">
      <w:r>
        <w:separator/>
      </w:r>
    </w:p>
  </w:footnote>
  <w:footnote w:type="continuationSeparator" w:id="0">
    <w:p w:rsidR="00B61F9B" w:rsidRDefault="00B61F9B"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59" w:type="dxa"/>
      <w:tblInd w:w="-1269" w:type="dxa"/>
      <w:tblLayout w:type="fixed"/>
      <w:tblCellMar>
        <w:left w:w="0" w:type="dxa"/>
        <w:right w:w="0" w:type="dxa"/>
      </w:tblCellMar>
      <w:tblLook w:val="00A0" w:firstRow="1" w:lastRow="0" w:firstColumn="1" w:lastColumn="0" w:noHBand="0" w:noVBand="0"/>
    </w:tblPr>
    <w:tblGrid>
      <w:gridCol w:w="2529"/>
      <w:gridCol w:w="7830"/>
    </w:tblGrid>
    <w:tr w:rsidR="00B97E77" w:rsidRPr="0095046A" w:rsidTr="009D1543">
      <w:trPr>
        <w:trHeight w:val="624"/>
      </w:trPr>
      <w:tc>
        <w:tcPr>
          <w:tcW w:w="2529" w:type="dxa"/>
          <w:vMerge w:val="restart"/>
        </w:tcPr>
        <w:p w:rsidR="00B97E77" w:rsidRPr="006332DA" w:rsidRDefault="00B97E77" w:rsidP="00B97E77">
          <w:pPr>
            <w:pStyle w:val="MediumGrid21"/>
            <w:rPr>
              <w:noProof/>
              <w:lang w:val="ro-RO" w:eastAsia="ro-RO"/>
            </w:rPr>
          </w:pPr>
        </w:p>
      </w:tc>
      <w:tc>
        <w:tcPr>
          <w:tcW w:w="7830" w:type="dxa"/>
        </w:tcPr>
        <w:p w:rsidR="00B97E77" w:rsidRPr="00B97E77" w:rsidRDefault="00B97E77" w:rsidP="00931E11">
          <w:pPr>
            <w:ind w:right="180"/>
            <w:rPr>
              <w:lang w:eastAsia="ro-RO"/>
            </w:rPr>
          </w:pPr>
        </w:p>
      </w:tc>
    </w:tr>
    <w:tr w:rsidR="00B97E77" w:rsidRPr="00831532" w:rsidTr="009D1543">
      <w:trPr>
        <w:trHeight w:val="52"/>
      </w:trPr>
      <w:tc>
        <w:tcPr>
          <w:tcW w:w="2529" w:type="dxa"/>
          <w:vMerge/>
        </w:tcPr>
        <w:p w:rsidR="00B97E77" w:rsidRPr="009772CB" w:rsidRDefault="00B97E77" w:rsidP="00B97E77">
          <w:pPr>
            <w:pStyle w:val="MediumGrid21"/>
            <w:rPr>
              <w:rFonts w:ascii="Times New Roman" w:eastAsia="Times New Roman" w:hAnsi="Times New Roman"/>
              <w:sz w:val="24"/>
              <w:szCs w:val="24"/>
              <w:lang w:eastAsia="ro-RO"/>
            </w:rPr>
          </w:pPr>
        </w:p>
      </w:tc>
      <w:tc>
        <w:tcPr>
          <w:tcW w:w="7830" w:type="dxa"/>
        </w:tcPr>
        <w:p w:rsidR="00B97E77" w:rsidRPr="00831532" w:rsidRDefault="00B97E77" w:rsidP="00B97E77">
          <w:pPr>
            <w:pStyle w:val="MediumGrid21"/>
            <w:ind w:right="3416"/>
            <w:rPr>
              <w:b/>
              <w:noProof/>
              <w:color w:val="5F5F5F"/>
              <w:sz w:val="4"/>
              <w:szCs w:val="10"/>
              <w:lang w:val="ro-RO" w:eastAsia="ro-RO"/>
            </w:rPr>
          </w:pPr>
        </w:p>
      </w:tc>
    </w:tr>
  </w:tbl>
  <w:p w:rsidR="000745D4" w:rsidRPr="00B97E77" w:rsidRDefault="000745D4" w:rsidP="00B97E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59" w:type="dxa"/>
      <w:tblInd w:w="-1269" w:type="dxa"/>
      <w:tblLayout w:type="fixed"/>
      <w:tblCellMar>
        <w:left w:w="0" w:type="dxa"/>
        <w:right w:w="0" w:type="dxa"/>
      </w:tblCellMar>
      <w:tblLook w:val="00A0" w:firstRow="1" w:lastRow="0" w:firstColumn="1" w:lastColumn="0" w:noHBand="0" w:noVBand="0"/>
    </w:tblPr>
    <w:tblGrid>
      <w:gridCol w:w="1719"/>
      <w:gridCol w:w="8640"/>
    </w:tblGrid>
    <w:tr w:rsidR="00B37BF4" w:rsidRPr="0095046A" w:rsidTr="00880F82">
      <w:trPr>
        <w:trHeight w:val="624"/>
      </w:trPr>
      <w:tc>
        <w:tcPr>
          <w:tcW w:w="1719" w:type="dxa"/>
        </w:tcPr>
        <w:p w:rsidR="00B37BF4" w:rsidRPr="006332DA" w:rsidRDefault="00B37BF4" w:rsidP="00B37BF4">
          <w:pPr>
            <w:pStyle w:val="MediumGrid21"/>
            <w:rPr>
              <w:noProof/>
              <w:lang w:val="ro-RO" w:eastAsia="ro-RO"/>
            </w:rPr>
          </w:pPr>
        </w:p>
      </w:tc>
      <w:tc>
        <w:tcPr>
          <w:tcW w:w="8640" w:type="dxa"/>
        </w:tcPr>
        <w:p w:rsidR="00B37BF4" w:rsidRPr="00B97E77" w:rsidRDefault="00B37BF4" w:rsidP="00B37BF4">
          <w:pPr>
            <w:rPr>
              <w:lang w:eastAsia="ro-RO"/>
            </w:rPr>
          </w:pPr>
        </w:p>
      </w:tc>
    </w:tr>
  </w:tbl>
  <w:p w:rsidR="00B37BF4" w:rsidRDefault="00B37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A62AD"/>
    <w:multiLevelType w:val="hybridMultilevel"/>
    <w:tmpl w:val="6398408E"/>
    <w:lvl w:ilvl="0" w:tplc="04180001">
      <w:start w:val="1"/>
      <w:numFmt w:val="bullet"/>
      <w:lvlText w:val=""/>
      <w:lvlJc w:val="left"/>
      <w:pPr>
        <w:ind w:left="1260" w:hanging="360"/>
      </w:pPr>
      <w:rPr>
        <w:rFonts w:ascii="Symbol" w:hAnsi="Symbol" w:hint="default"/>
        <w:color w:val="auto"/>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1" w15:restartNumberingAfterBreak="0">
    <w:nsid w:val="340B473C"/>
    <w:multiLevelType w:val="hybridMultilevel"/>
    <w:tmpl w:val="26C83B1C"/>
    <w:lvl w:ilvl="0" w:tplc="A8287698">
      <w:start w:val="4"/>
      <w:numFmt w:val="bullet"/>
      <w:lvlText w:val=""/>
      <w:lvlJc w:val="left"/>
      <w:pPr>
        <w:ind w:left="1931" w:hanging="360"/>
      </w:pPr>
      <w:rPr>
        <w:rFonts w:ascii="Symbol" w:eastAsiaTheme="minorHAnsi" w:hAnsi="Symbol" w:cs="Open San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3F4A37E4"/>
    <w:multiLevelType w:val="hybridMultilevel"/>
    <w:tmpl w:val="187C92B2"/>
    <w:lvl w:ilvl="0" w:tplc="A8287698">
      <w:start w:val="4"/>
      <w:numFmt w:val="bullet"/>
      <w:lvlText w:val=""/>
      <w:lvlJc w:val="left"/>
      <w:pPr>
        <w:ind w:left="1211" w:hanging="360"/>
      </w:pPr>
      <w:rPr>
        <w:rFonts w:ascii="Symbol" w:eastAsiaTheme="minorHAnsi" w:hAnsi="Symbol" w:cs="Open Sans"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15:restartNumberingAfterBreak="0">
    <w:nsid w:val="403A43F8"/>
    <w:multiLevelType w:val="hybridMultilevel"/>
    <w:tmpl w:val="B060D744"/>
    <w:lvl w:ilvl="0" w:tplc="04180001">
      <w:start w:val="1"/>
      <w:numFmt w:val="bullet"/>
      <w:lvlText w:val=""/>
      <w:lvlJc w:val="left"/>
      <w:pPr>
        <w:ind w:left="1620" w:hanging="360"/>
      </w:pPr>
      <w:rPr>
        <w:rFonts w:ascii="Symbol" w:hAnsi="Symbol"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4" w15:restartNumberingAfterBreak="0">
    <w:nsid w:val="4CAB04C7"/>
    <w:multiLevelType w:val="hybridMultilevel"/>
    <w:tmpl w:val="3CE0C396"/>
    <w:lvl w:ilvl="0" w:tplc="CF2E944A">
      <w:start w:val="1"/>
      <w:numFmt w:val="bullet"/>
      <w:lvlText w:val=""/>
      <w:lvlJc w:val="left"/>
      <w:pPr>
        <w:tabs>
          <w:tab w:val="num" w:pos="360"/>
        </w:tabs>
        <w:ind w:left="360" w:hanging="360"/>
      </w:pPr>
      <w:rPr>
        <w:rFonts w:ascii="Symbol" w:hAnsi="Symbol" w:hint="default"/>
        <w:strike w:val="0"/>
        <w:dstrike w:val="0"/>
        <w:color w:val="auto"/>
        <w:sz w:val="24"/>
        <w:szCs w:val="24"/>
        <w:u w:val="none"/>
        <w:effect w:val="none"/>
      </w:rPr>
    </w:lvl>
    <w:lvl w:ilvl="1" w:tplc="04090001">
      <w:start w:val="1"/>
      <w:numFmt w:val="bullet"/>
      <w:lvlText w:val=""/>
      <w:lvlJc w:val="left"/>
      <w:pPr>
        <w:tabs>
          <w:tab w:val="num" w:pos="1440"/>
        </w:tabs>
        <w:ind w:left="1440" w:hanging="360"/>
      </w:pPr>
      <w:rPr>
        <w:rFonts w:ascii="Symbol" w:hAnsi="Symbol" w:hint="default"/>
        <w:strike w:val="0"/>
        <w:dstrike w:val="0"/>
        <w:color w:val="auto"/>
        <w:sz w:val="22"/>
        <w:szCs w:val="22"/>
        <w:u w:val="none"/>
        <w:effect w:val="none"/>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DC82C70"/>
    <w:multiLevelType w:val="hybridMultilevel"/>
    <w:tmpl w:val="DD28D88C"/>
    <w:lvl w:ilvl="0" w:tplc="7808495A">
      <w:start w:val="25"/>
      <w:numFmt w:val="bullet"/>
      <w:lvlText w:val="-"/>
      <w:lvlJc w:val="left"/>
      <w:pPr>
        <w:ind w:left="1260" w:hanging="360"/>
      </w:pPr>
      <w:rPr>
        <w:rFonts w:ascii="Trebuchet MS" w:eastAsiaTheme="minorHAnsi" w:hAnsi="Trebuchet MS" w:cs="Arial" w:hint="default"/>
        <w:color w:val="auto"/>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6" w15:restartNumberingAfterBreak="0">
    <w:nsid w:val="5042295C"/>
    <w:multiLevelType w:val="hybridMultilevel"/>
    <w:tmpl w:val="EDD837AA"/>
    <w:lvl w:ilvl="0" w:tplc="D876A18E">
      <w:start w:val="1"/>
      <w:numFmt w:val="bullet"/>
      <w:lvlText w:val=""/>
      <w:lvlJc w:val="left"/>
      <w:pPr>
        <w:ind w:left="2424" w:hanging="360"/>
      </w:pPr>
      <w:rPr>
        <w:rFonts w:ascii="Symbol" w:hAnsi="Symbol" w:hint="default"/>
        <w:color w:val="auto"/>
      </w:rPr>
    </w:lvl>
    <w:lvl w:ilvl="1" w:tplc="04090003">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7" w15:restartNumberingAfterBreak="0">
    <w:nsid w:val="7DF75043"/>
    <w:multiLevelType w:val="hybridMultilevel"/>
    <w:tmpl w:val="B63A5D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402CA"/>
    <w:rsid w:val="000745D4"/>
    <w:rsid w:val="00084F8D"/>
    <w:rsid w:val="00096E77"/>
    <w:rsid w:val="000C66CA"/>
    <w:rsid w:val="000E2905"/>
    <w:rsid w:val="001457D2"/>
    <w:rsid w:val="001466DC"/>
    <w:rsid w:val="0015143D"/>
    <w:rsid w:val="00164F05"/>
    <w:rsid w:val="0017007F"/>
    <w:rsid w:val="001964A2"/>
    <w:rsid w:val="001F7524"/>
    <w:rsid w:val="00216236"/>
    <w:rsid w:val="002328DD"/>
    <w:rsid w:val="00236D01"/>
    <w:rsid w:val="00246696"/>
    <w:rsid w:val="00253A6C"/>
    <w:rsid w:val="002B23AA"/>
    <w:rsid w:val="002F539B"/>
    <w:rsid w:val="00303C1D"/>
    <w:rsid w:val="00334F75"/>
    <w:rsid w:val="00335666"/>
    <w:rsid w:val="003446A2"/>
    <w:rsid w:val="00346A4F"/>
    <w:rsid w:val="00371A10"/>
    <w:rsid w:val="003C04EB"/>
    <w:rsid w:val="003F5FE9"/>
    <w:rsid w:val="0040453A"/>
    <w:rsid w:val="00414B07"/>
    <w:rsid w:val="00444BF0"/>
    <w:rsid w:val="004A1994"/>
    <w:rsid w:val="004F1C7A"/>
    <w:rsid w:val="005132B6"/>
    <w:rsid w:val="00515A18"/>
    <w:rsid w:val="00552B68"/>
    <w:rsid w:val="005913CC"/>
    <w:rsid w:val="005A00C4"/>
    <w:rsid w:val="005D4853"/>
    <w:rsid w:val="005E69C3"/>
    <w:rsid w:val="005F401D"/>
    <w:rsid w:val="00642D7D"/>
    <w:rsid w:val="00650B92"/>
    <w:rsid w:val="00652419"/>
    <w:rsid w:val="006534C7"/>
    <w:rsid w:val="00684366"/>
    <w:rsid w:val="0068581C"/>
    <w:rsid w:val="006943C5"/>
    <w:rsid w:val="006B11AA"/>
    <w:rsid w:val="006C3576"/>
    <w:rsid w:val="006C4FA0"/>
    <w:rsid w:val="006D4F5D"/>
    <w:rsid w:val="00773781"/>
    <w:rsid w:val="007B55DB"/>
    <w:rsid w:val="00835674"/>
    <w:rsid w:val="00840A24"/>
    <w:rsid w:val="00855ADD"/>
    <w:rsid w:val="008702EC"/>
    <w:rsid w:val="008719F4"/>
    <w:rsid w:val="0089657B"/>
    <w:rsid w:val="008F5217"/>
    <w:rsid w:val="00924FDB"/>
    <w:rsid w:val="00931E11"/>
    <w:rsid w:val="009430B8"/>
    <w:rsid w:val="00960756"/>
    <w:rsid w:val="009745CF"/>
    <w:rsid w:val="009772BD"/>
    <w:rsid w:val="0099458A"/>
    <w:rsid w:val="009B4C36"/>
    <w:rsid w:val="009D1543"/>
    <w:rsid w:val="009E202D"/>
    <w:rsid w:val="00A21E43"/>
    <w:rsid w:val="00A77247"/>
    <w:rsid w:val="00A8134B"/>
    <w:rsid w:val="00AE7308"/>
    <w:rsid w:val="00B1157C"/>
    <w:rsid w:val="00B12070"/>
    <w:rsid w:val="00B14EEB"/>
    <w:rsid w:val="00B16072"/>
    <w:rsid w:val="00B174BD"/>
    <w:rsid w:val="00B37BF4"/>
    <w:rsid w:val="00B617F8"/>
    <w:rsid w:val="00B61F9B"/>
    <w:rsid w:val="00B73F21"/>
    <w:rsid w:val="00B77966"/>
    <w:rsid w:val="00B945BF"/>
    <w:rsid w:val="00B97E77"/>
    <w:rsid w:val="00BB3E8F"/>
    <w:rsid w:val="00BB68B3"/>
    <w:rsid w:val="00C20CFD"/>
    <w:rsid w:val="00C95BCC"/>
    <w:rsid w:val="00CA3374"/>
    <w:rsid w:val="00CA47A7"/>
    <w:rsid w:val="00CA6CA4"/>
    <w:rsid w:val="00D150B8"/>
    <w:rsid w:val="00D24DFD"/>
    <w:rsid w:val="00D57FBF"/>
    <w:rsid w:val="00D901E1"/>
    <w:rsid w:val="00D92024"/>
    <w:rsid w:val="00DF3AAA"/>
    <w:rsid w:val="00DF6EAD"/>
    <w:rsid w:val="00DF7C48"/>
    <w:rsid w:val="00E13DF6"/>
    <w:rsid w:val="00E35939"/>
    <w:rsid w:val="00E55D00"/>
    <w:rsid w:val="00E6505E"/>
    <w:rsid w:val="00E87F10"/>
    <w:rsid w:val="00F33CEC"/>
    <w:rsid w:val="00F778DB"/>
    <w:rsid w:val="00F924CE"/>
    <w:rsid w:val="00F93B96"/>
    <w:rsid w:val="00FC7074"/>
    <w:rsid w:val="00FE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3">
    <w:name w:val="heading 3"/>
    <w:basedOn w:val="Normal"/>
    <w:next w:val="Normal"/>
    <w:link w:val="Heading3Char"/>
    <w:uiPriority w:val="9"/>
    <w:unhideWhenUsed/>
    <w:qFormat/>
    <w:rsid w:val="00334F75"/>
    <w:pPr>
      <w:keepNext/>
      <w:spacing w:before="240" w:after="60"/>
      <w:ind w:left="1701"/>
      <w:outlineLvl w:val="2"/>
    </w:pPr>
    <w:rPr>
      <w:rFonts w:ascii="Cambria" w:eastAsia="Times New Roman" w:hAnsi="Cambria" w:cs="Times New Roman"/>
      <w:b/>
      <w:bCs/>
      <w:color w:val="auto"/>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Emphasis">
    <w:name w:val="Emphasis"/>
    <w:uiPriority w:val="20"/>
    <w:qFormat/>
    <w:rsid w:val="00371A10"/>
    <w:rPr>
      <w:i/>
      <w:iCs/>
    </w:rPr>
  </w:style>
  <w:style w:type="paragraph" w:styleId="Title">
    <w:name w:val="Title"/>
    <w:basedOn w:val="Normal"/>
    <w:next w:val="Normal"/>
    <w:link w:val="TitleChar"/>
    <w:uiPriority w:val="10"/>
    <w:qFormat/>
    <w:rsid w:val="00371A10"/>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371A10"/>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371A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A10"/>
    <w:rPr>
      <w:rFonts w:ascii="Segoe UI" w:hAnsi="Segoe UI" w:cs="Segoe UI"/>
      <w:color w:val="000000"/>
      <w:sz w:val="18"/>
      <w:szCs w:val="18"/>
      <w:lang w:val="ro-RO"/>
    </w:rPr>
  </w:style>
  <w:style w:type="character" w:customStyle="1" w:styleId="Heading3Char">
    <w:name w:val="Heading 3 Char"/>
    <w:basedOn w:val="DefaultParagraphFont"/>
    <w:link w:val="Heading3"/>
    <w:uiPriority w:val="9"/>
    <w:rsid w:val="00334F75"/>
    <w:rPr>
      <w:rFonts w:ascii="Cambria" w:eastAsia="Times New Roman" w:hAnsi="Cambria" w:cs="Times New Roman"/>
      <w:b/>
      <w:bCs/>
      <w:sz w:val="26"/>
      <w:szCs w:val="26"/>
      <w:lang w:val="x-none" w:eastAsia="x-none"/>
    </w:rPr>
  </w:style>
  <w:style w:type="paragraph" w:styleId="BodyTextIndent">
    <w:name w:val="Body Text Indent"/>
    <w:basedOn w:val="Normal"/>
    <w:link w:val="BodyTextIndentChar"/>
    <w:semiHidden/>
    <w:unhideWhenUsed/>
    <w:rsid w:val="00334F75"/>
    <w:pPr>
      <w:spacing w:before="0" w:after="120" w:line="240" w:lineRule="auto"/>
      <w:ind w:left="283"/>
      <w:jc w:val="left"/>
    </w:pPr>
    <w:rPr>
      <w:rFonts w:ascii="Times New Roman" w:eastAsia="Times New Roman" w:hAnsi="Times New Roman" w:cs="Times New Roman"/>
      <w:color w:val="auto"/>
      <w:sz w:val="24"/>
      <w:szCs w:val="24"/>
      <w:lang w:val="en-US"/>
    </w:rPr>
  </w:style>
  <w:style w:type="character" w:customStyle="1" w:styleId="BodyTextIndentChar">
    <w:name w:val="Body Text Indent Char"/>
    <w:basedOn w:val="DefaultParagraphFont"/>
    <w:link w:val="BodyTextIndent"/>
    <w:semiHidden/>
    <w:rsid w:val="00334F75"/>
    <w:rPr>
      <w:rFonts w:ascii="Times New Roman" w:eastAsia="Times New Roman" w:hAnsi="Times New Roman" w:cs="Times New Roman"/>
      <w:sz w:val="24"/>
      <w:szCs w:val="24"/>
    </w:rPr>
  </w:style>
  <w:style w:type="character" w:customStyle="1" w:styleId="sttpunct">
    <w:name w:val="st_tpunct"/>
    <w:rsid w:val="00334F75"/>
  </w:style>
  <w:style w:type="paragraph" w:styleId="PlainText">
    <w:name w:val="Plain Text"/>
    <w:basedOn w:val="Normal"/>
    <w:link w:val="PlainTextChar"/>
    <w:uiPriority w:val="99"/>
    <w:semiHidden/>
    <w:unhideWhenUsed/>
    <w:rsid w:val="00334F75"/>
    <w:pPr>
      <w:spacing w:before="0" w:after="0" w:line="240" w:lineRule="auto"/>
      <w:jc w:val="left"/>
    </w:pPr>
    <w:rPr>
      <w:rFonts w:ascii="Calibri" w:eastAsia="Calibri" w:hAnsi="Calibri" w:cs="Consolas"/>
      <w:color w:val="auto"/>
      <w:szCs w:val="21"/>
      <w:lang w:val="en-US"/>
    </w:rPr>
  </w:style>
  <w:style w:type="character" w:customStyle="1" w:styleId="PlainTextChar">
    <w:name w:val="Plain Text Char"/>
    <w:basedOn w:val="DefaultParagraphFont"/>
    <w:link w:val="PlainText"/>
    <w:uiPriority w:val="99"/>
    <w:semiHidden/>
    <w:rsid w:val="00334F75"/>
    <w:rPr>
      <w:rFonts w:ascii="Calibri" w:eastAsia="Calibri" w:hAnsi="Calibri" w:cs="Consolas"/>
      <w:szCs w:val="21"/>
    </w:rPr>
  </w:style>
  <w:style w:type="paragraph" w:styleId="ListParagraph">
    <w:name w:val="List Paragraph"/>
    <w:aliases w:val="body 2,List_Paragraph,Multilevel para_II,2,Dot pt,No Spacing1,List Paragraph Char Char Char,Indicator Text,Numbered Para 1,List Paragraph à moi,LISTA,Listaszerű bekezdés2,Listaszerű bekezdés3,Listaszerű bekezdés1,3,Bullet 1,Bullet Points"/>
    <w:basedOn w:val="Normal"/>
    <w:link w:val="ListParagraphChar"/>
    <w:uiPriority w:val="34"/>
    <w:qFormat/>
    <w:rsid w:val="00B1157C"/>
    <w:pPr>
      <w:ind w:left="720"/>
      <w:contextualSpacing/>
    </w:pPr>
  </w:style>
  <w:style w:type="paragraph" w:styleId="FootnoteText">
    <w:name w:val="footnote text"/>
    <w:basedOn w:val="Normal"/>
    <w:link w:val="FootnoteTextChar"/>
    <w:rsid w:val="00CA6CA4"/>
    <w:pPr>
      <w:spacing w:before="0" w:after="0" w:line="240" w:lineRule="auto"/>
      <w:jc w:val="left"/>
    </w:pPr>
    <w:rPr>
      <w:rFonts w:ascii="Times New Roman" w:eastAsia="Times New Roman" w:hAnsi="Times New Roman" w:cs="Times New Roman"/>
      <w:color w:val="auto"/>
      <w:sz w:val="20"/>
      <w:szCs w:val="20"/>
      <w:lang w:val="en-US"/>
    </w:rPr>
  </w:style>
  <w:style w:type="character" w:customStyle="1" w:styleId="FootnoteTextChar">
    <w:name w:val="Footnote Text Char"/>
    <w:basedOn w:val="DefaultParagraphFont"/>
    <w:link w:val="FootnoteText"/>
    <w:rsid w:val="00CA6CA4"/>
    <w:rPr>
      <w:rFonts w:ascii="Times New Roman" w:eastAsia="Times New Roman" w:hAnsi="Times New Roman" w:cs="Times New Roman"/>
      <w:sz w:val="20"/>
      <w:szCs w:val="20"/>
    </w:rPr>
  </w:style>
  <w:style w:type="character" w:styleId="FootnoteReference">
    <w:name w:val="footnote reference"/>
    <w:rsid w:val="00CA6CA4"/>
    <w:rPr>
      <w:vertAlign w:val="superscript"/>
    </w:rPr>
  </w:style>
  <w:style w:type="character" w:customStyle="1" w:styleId="emailstyle17">
    <w:name w:val="emailstyle17"/>
    <w:semiHidden/>
    <w:rsid w:val="00CA6CA4"/>
    <w:rPr>
      <w:rFonts w:ascii="Arial" w:hAnsi="Arial" w:cs="Arial" w:hint="default"/>
      <w:color w:val="auto"/>
    </w:rPr>
  </w:style>
  <w:style w:type="character" w:styleId="Hyperlink">
    <w:name w:val="Hyperlink"/>
    <w:rsid w:val="00246696"/>
    <w:rPr>
      <w:rFonts w:cs="Times New Roman"/>
      <w:color w:val="0000FF"/>
      <w:u w:val="single"/>
    </w:rPr>
  </w:style>
  <w:style w:type="paragraph" w:customStyle="1" w:styleId="MediumGrid21">
    <w:name w:val="Medium Grid 21"/>
    <w:rsid w:val="00B97E77"/>
    <w:pPr>
      <w:spacing w:after="0" w:line="240" w:lineRule="auto"/>
    </w:pPr>
    <w:rPr>
      <w:rFonts w:ascii="Trebuchet MS" w:eastAsia="MS Mincho" w:hAnsi="Trebuchet MS" w:cs="Times New Roman"/>
      <w:sz w:val="18"/>
      <w:szCs w:val="18"/>
    </w:rPr>
  </w:style>
  <w:style w:type="paragraph" w:customStyle="1" w:styleId="Style4">
    <w:name w:val="Style4"/>
    <w:basedOn w:val="Normal"/>
    <w:rsid w:val="00B97E77"/>
    <w:pPr>
      <w:spacing w:before="0" w:after="0" w:line="240" w:lineRule="auto"/>
      <w:jc w:val="left"/>
    </w:pPr>
    <w:rPr>
      <w:rFonts w:ascii="Californian FB" w:eastAsia="Batang" w:hAnsi="Californian FB" w:cs="Aparajita"/>
      <w:bCs/>
      <w:smallCaps/>
      <w:noProof/>
      <w:color w:val="808080"/>
      <w:sz w:val="32"/>
      <w:szCs w:val="30"/>
      <w:lang w:eastAsia="ro-RO"/>
    </w:rPr>
  </w:style>
  <w:style w:type="character" w:customStyle="1" w:styleId="ListParagraphChar">
    <w:name w:val="List Paragraph Char"/>
    <w:aliases w:val="body 2 Char,List_Paragraph Char,Multilevel para_II Char,2 Char,Dot pt Char,No Spacing1 Char,List Paragraph Char Char Char Char,Indicator Text Char,Numbered Para 1 Char,List Paragraph à moi Char,LISTA Char,Listaszerű bekezdés2 Char"/>
    <w:link w:val="ListParagraph"/>
    <w:uiPriority w:val="34"/>
    <w:locked/>
    <w:rsid w:val="00773781"/>
    <w:rPr>
      <w:rFonts w:ascii="Trebuchet MS" w:hAnsi="Trebuchet MS" w:cs="Open Sans"/>
      <w:color w:val="000000"/>
      <w:lang w:val="ro-RO"/>
    </w:rPr>
  </w:style>
  <w:style w:type="character" w:customStyle="1" w:styleId="filetitle1">
    <w:name w:val="file__title1"/>
    <w:basedOn w:val="DefaultParagraphFont"/>
    <w:rsid w:val="00773781"/>
    <w:rPr>
      <w:b/>
      <w:bCs/>
    </w:rPr>
  </w:style>
  <w:style w:type="character" w:styleId="FollowedHyperlink">
    <w:name w:val="FollowedHyperlink"/>
    <w:basedOn w:val="DefaultParagraphFont"/>
    <w:uiPriority w:val="99"/>
    <w:semiHidden/>
    <w:unhideWhenUsed/>
    <w:rsid w:val="006943C5"/>
    <w:rPr>
      <w:color w:val="954F72" w:themeColor="followedHyperlink"/>
      <w:u w:val="single"/>
    </w:rPr>
  </w:style>
  <w:style w:type="character" w:customStyle="1" w:styleId="sden">
    <w:name w:val="s_den"/>
    <w:basedOn w:val="DefaultParagraphFont"/>
    <w:rsid w:val="00303C1D"/>
  </w:style>
  <w:style w:type="character" w:customStyle="1" w:styleId="shdr">
    <w:name w:val="s_hdr"/>
    <w:basedOn w:val="DefaultParagraphFont"/>
    <w:rsid w:val="0030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iles/brexit-preparedness-checklist" TargetMode="External"/><Relationship Id="rId13" Type="http://schemas.openxmlformats.org/officeDocument/2006/relationships/hyperlink" Target="https://eur-lex.europa.eu/legal-content/RO/TXT/PDF/?uri=CELEX:32019R0502&amp;from=DE" TargetMode="External"/><Relationship Id="rId18" Type="http://schemas.openxmlformats.org/officeDocument/2006/relationships/hyperlink" Target="https://ec.europa.eu/info/brexit/brexit-preparedness/preparedness-notices_en" TargetMode="External"/><Relationship Id="rId26" Type="http://schemas.openxmlformats.org/officeDocument/2006/relationships/hyperlink" Target="https://ec.europa.eu/info/publications/factsheets-and-questions-and-answers_ro"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c.europa.eu/info/sites/info/files/notice-transportable-pressure-equipment_en.pdf" TargetMode="External"/><Relationship Id="rId34" Type="http://schemas.openxmlformats.org/officeDocument/2006/relationships/hyperlink" Target="http://www.douane.gouv.fr/Portals/0/fichiers/douane/brexit/a-smart-border-for-smart-drivers.pdf" TargetMode="External"/><Relationship Id="rId7" Type="http://schemas.openxmlformats.org/officeDocument/2006/relationships/endnotes" Target="endnotes.xml"/><Relationship Id="rId12" Type="http://schemas.openxmlformats.org/officeDocument/2006/relationships/hyperlink" Target="https://eur-lex.europa.eu/legal-content/RO/TXT/PDF/?uri=CELEX:32019R0501&amp;from=es" TargetMode="External"/><Relationship Id="rId17" Type="http://schemas.openxmlformats.org/officeDocument/2006/relationships/hyperlink" Target="http://legislatie.just.ro/Public/FormaPrintabila/00000G0HA5UKBCFW6DQ167UCMEG06XDA" TargetMode="External"/><Relationship Id="rId25" Type="http://schemas.openxmlformats.org/officeDocument/2006/relationships/hyperlink" Target="https://ec.europa.eu/info/publications/factsheets-and-questions-and-answers_en" TargetMode="External"/><Relationship Id="rId33" Type="http://schemas.openxmlformats.org/officeDocument/2006/relationships/hyperlink" Target="http://www.douane.gouv.fr/Portals/0/fichiers/douane/brexit/post-brexit-import-or-export.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ur-lex.europa.eu/legal-content/RO/TXT/PDF/?uri=CELEX:32019R0503&amp;from=BG" TargetMode="External"/><Relationship Id="rId20" Type="http://schemas.openxmlformats.org/officeDocument/2006/relationships/hyperlink" Target="https://ec.europa.eu/info/sites/info/files/tachographs_en.pdf" TargetMode="External"/><Relationship Id="rId29" Type="http://schemas.openxmlformats.org/officeDocument/2006/relationships/hyperlink" Target="https://www.gov.uk/brex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iles/com-2019-396_en" TargetMode="External"/><Relationship Id="rId24" Type="http://schemas.openxmlformats.org/officeDocument/2006/relationships/hyperlink" Target="https://ec.europa.eu/info/sites/info/files/file_import/type-approval-motor-vehicles-certain-other-vehicles-engines-questions-answers_ro.pdf" TargetMode="External"/><Relationship Id="rId32" Type="http://schemas.openxmlformats.org/officeDocument/2006/relationships/hyperlink" Target="http://www.douane.gouv.fr/articles/a16196-conducteurs-preparez-vous-au-brexit-"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legal-content/RO/TXT/PDF/?uri=CELEX:32019R0494&amp;from=RO" TargetMode="External"/><Relationship Id="rId23" Type="http://schemas.openxmlformats.org/officeDocument/2006/relationships/hyperlink" Target="https://ec.europa.eu/info/sites/info/files/file_import/consumer_protection_and_passenger_rights_ro.pdf" TargetMode="External"/><Relationship Id="rId28" Type="http://schemas.openxmlformats.org/officeDocument/2006/relationships/hyperlink" Target="https://www.mae.ro/brexit" TargetMode="External"/><Relationship Id="rId36" Type="http://schemas.openxmlformats.org/officeDocument/2006/relationships/footer" Target="footer1.xml"/><Relationship Id="rId10" Type="http://schemas.openxmlformats.org/officeDocument/2006/relationships/hyperlink" Target="https://ec.europa.eu/info/files/brexit-preparedness-checklist" TargetMode="External"/><Relationship Id="rId19" Type="http://schemas.openxmlformats.org/officeDocument/2006/relationships/hyperlink" Target="https://ec.europa.eu/info/sites/info/files/file_import/road_transport_ro.pdf" TargetMode="External"/><Relationship Id="rId31" Type="http://schemas.openxmlformats.org/officeDocument/2006/relationships/hyperlink" Target="https://www.gov.uk/transport-goods-from-uk-by-road" TargetMode="External"/><Relationship Id="rId4" Type="http://schemas.openxmlformats.org/officeDocument/2006/relationships/settings" Target="settings.xml"/><Relationship Id="rId9" Type="http://schemas.openxmlformats.org/officeDocument/2006/relationships/hyperlink" Target="https://ec.europa.eu/info/brexit/brexit-preparedness/other-preparedness-activities_en" TargetMode="External"/><Relationship Id="rId14" Type="http://schemas.openxmlformats.org/officeDocument/2006/relationships/hyperlink" Target="https://eur-lex.europa.eu/legal-content/RO/TXT/PDF/?uri=CELEX:32019R0492&amp;from=EN" TargetMode="External"/><Relationship Id="rId22" Type="http://schemas.openxmlformats.org/officeDocument/2006/relationships/hyperlink" Target="https://ec.europa.eu/info/sites/info/files/travelling_en.pdf" TargetMode="External"/><Relationship Id="rId27" Type="http://schemas.openxmlformats.org/officeDocument/2006/relationships/hyperlink" Target="http://www.imm.gov.ro/mmaca/brexit/" TargetMode="External"/><Relationship Id="rId30" Type="http://schemas.openxmlformats.org/officeDocument/2006/relationships/hyperlink" Target="https://www.gov.uk/government/news/boost-for-hauliers-brexit-preparation-as-multi-million-pound-campaign-launched)"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96BA-A93F-497C-AA6C-6601EFEC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2019-09-26T10:19:00Z</dcterms:created>
  <dcterms:modified xsi:type="dcterms:W3CDTF">2019-09-26T10:22:00Z</dcterms:modified>
</cp:coreProperties>
</file>