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8C3F" w14:textId="77777777" w:rsidR="00194774" w:rsidRDefault="00194774" w:rsidP="00833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F054C" w14:textId="0223C5CC" w:rsidR="00194774" w:rsidRDefault="00194774" w:rsidP="001947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Anexa nr. </w:t>
      </w:r>
      <w:r w:rsidR="003045B9">
        <w:rPr>
          <w:rFonts w:ascii="Times New Roman" w:hAnsi="Times New Roman" w:cs="Times New Roman"/>
          <w:b/>
          <w:sz w:val="24"/>
          <w:szCs w:val="24"/>
        </w:rPr>
        <w:t>2</w:t>
      </w:r>
    </w:p>
    <w:p w14:paraId="0BCB34F7" w14:textId="77777777" w:rsidR="00194774" w:rsidRDefault="00194774" w:rsidP="001947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BBA0FB" w14:textId="7FE5C3C9" w:rsidR="00194774" w:rsidRPr="00FC392E" w:rsidRDefault="00194774" w:rsidP="001947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94EAB9" w14:textId="77777777" w:rsidR="00FC2958" w:rsidRPr="00FC392E" w:rsidRDefault="00FC2958" w:rsidP="001947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1B67F7" w14:textId="77777777" w:rsidR="00194774" w:rsidRPr="00FC392E" w:rsidRDefault="00194774" w:rsidP="001947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BBCB67" w14:textId="1F1C00CC" w:rsidR="00194774" w:rsidRPr="00FC392E" w:rsidRDefault="00194774" w:rsidP="00FC295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392E">
        <w:rPr>
          <w:rFonts w:ascii="Times New Roman" w:hAnsi="Times New Roman" w:cs="Times New Roman"/>
          <w:b/>
          <w:sz w:val="24"/>
          <w:szCs w:val="24"/>
        </w:rPr>
        <w:t xml:space="preserve">CARACTERISTICILE PRINCIPALE ŞI INDICATORII TEHNICO-ECONOMICI AI OBIECTIVULUI DE INVESTIȚIE </w:t>
      </w:r>
    </w:p>
    <w:p w14:paraId="10574B05" w14:textId="77777777" w:rsidR="00FC2958" w:rsidRPr="00FC392E" w:rsidRDefault="00FC2958" w:rsidP="00FC295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76DF1F" w14:textId="0CC0FFB6" w:rsidR="00194774" w:rsidRPr="00FC392E" w:rsidRDefault="009E177B" w:rsidP="00194774">
      <w:pPr>
        <w:ind w:left="1134" w:hanging="1128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94774" w:rsidRPr="00FC392E">
        <w:rPr>
          <w:rFonts w:ascii="Times New Roman" w:hAnsi="Times New Roman" w:cs="Times New Roman"/>
          <w:b/>
          <w:sz w:val="24"/>
          <w:szCs w:val="24"/>
        </w:rPr>
        <w:t>„</w:t>
      </w:r>
      <w:r w:rsidR="00194774" w:rsidRPr="00FC392E">
        <w:rPr>
          <w:rFonts w:ascii="Times New Roman" w:hAnsi="Times New Roman"/>
          <w:b/>
          <w:spacing w:val="-2"/>
          <w:sz w:val="24"/>
          <w:szCs w:val="24"/>
        </w:rPr>
        <w:t>Drum Transregio Feleac TR 35 Etapa I Centura Metropolitană TR 35 și Drumuri de Legătură”</w:t>
      </w:r>
    </w:p>
    <w:p w14:paraId="08AE37CA" w14:textId="77777777" w:rsidR="00194774" w:rsidRPr="00FC392E" w:rsidRDefault="00194774" w:rsidP="00194774">
      <w:pPr>
        <w:ind w:left="1134" w:hanging="1128"/>
        <w:rPr>
          <w:rFonts w:ascii="Times New Roman" w:hAnsi="Times New Roman"/>
          <w:b/>
          <w:spacing w:val="-2"/>
          <w:sz w:val="24"/>
          <w:szCs w:val="24"/>
        </w:rPr>
      </w:pPr>
    </w:p>
    <w:p w14:paraId="0F77124C" w14:textId="6BD6BE94" w:rsidR="00194774" w:rsidRPr="00FC392E" w:rsidRDefault="00194774" w:rsidP="00FC392E">
      <w:pPr>
        <w:ind w:left="1134" w:right="360" w:hanging="112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 w:eastAsia="zh-CN"/>
        </w:rPr>
      </w:pPr>
      <w:r w:rsidRPr="00FC392E">
        <w:rPr>
          <w:rFonts w:ascii="Times New Roman" w:hAnsi="Times New Roman" w:cs="Times New Roman"/>
          <w:b/>
          <w:sz w:val="24"/>
          <w:szCs w:val="24"/>
        </w:rPr>
        <w:t>Faza I</w:t>
      </w:r>
    </w:p>
    <w:p w14:paraId="34ABF01B" w14:textId="77777777" w:rsidR="00194774" w:rsidRPr="00FC392E" w:rsidRDefault="00194774" w:rsidP="00194774">
      <w:pPr>
        <w:ind w:left="1134" w:right="360" w:hanging="1128"/>
        <w:jc w:val="center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</w:p>
    <w:p w14:paraId="015D9688" w14:textId="77777777" w:rsidR="00194774" w:rsidRPr="00FC392E" w:rsidRDefault="00194774" w:rsidP="00833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5A638" w14:textId="11DA32C9" w:rsidR="00833946" w:rsidRPr="00FC392E" w:rsidRDefault="00833946" w:rsidP="008A1C35">
      <w:pPr>
        <w:pStyle w:val="NoSpacing"/>
        <w:spacing w:line="276" w:lineRule="auto"/>
        <w:ind w:left="5040" w:hanging="5040"/>
        <w:rPr>
          <w:b/>
        </w:rPr>
      </w:pPr>
      <w:r w:rsidRPr="00FC392E">
        <w:rPr>
          <w:b/>
        </w:rPr>
        <w:t xml:space="preserve">Ordonator principal de credite:   </w:t>
      </w:r>
      <w:r w:rsidR="00497FF5" w:rsidRPr="00FC392E">
        <w:rPr>
          <w:b/>
        </w:rPr>
        <w:t xml:space="preserve"> </w:t>
      </w:r>
      <w:r w:rsidR="00167FC0" w:rsidRPr="00FC392E">
        <w:rPr>
          <w:b/>
        </w:rPr>
        <w:t xml:space="preserve">Ministerul Transporturilor </w:t>
      </w:r>
      <w:r w:rsidR="000F498B" w:rsidRPr="00FC392E">
        <w:rPr>
          <w:b/>
        </w:rPr>
        <w:t>ș</w:t>
      </w:r>
      <w:r w:rsidR="00167FC0" w:rsidRPr="00FC392E">
        <w:rPr>
          <w:b/>
        </w:rPr>
        <w:t>i</w:t>
      </w:r>
      <w:r w:rsidRPr="00FC392E">
        <w:rPr>
          <w:b/>
        </w:rPr>
        <w:t xml:space="preserve"> Infrastructurii </w:t>
      </w:r>
    </w:p>
    <w:p w14:paraId="7ADAFE24" w14:textId="77777777" w:rsidR="009F191F" w:rsidRPr="00FC392E" w:rsidRDefault="009F191F" w:rsidP="008A1C35">
      <w:pPr>
        <w:pStyle w:val="NoSpacing"/>
        <w:spacing w:line="276" w:lineRule="auto"/>
        <w:ind w:left="5040" w:hanging="5040"/>
        <w:rPr>
          <w:b/>
        </w:rPr>
      </w:pPr>
    </w:p>
    <w:p w14:paraId="15866D04" w14:textId="6721A09D" w:rsidR="00167FC0" w:rsidRPr="00FC392E" w:rsidRDefault="00833946" w:rsidP="008A1C35">
      <w:pPr>
        <w:spacing w:line="276" w:lineRule="auto"/>
        <w:ind w:left="3510" w:hanging="3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92E">
        <w:rPr>
          <w:rFonts w:ascii="Times New Roman" w:hAnsi="Times New Roman" w:cs="Times New Roman"/>
          <w:b/>
          <w:sz w:val="24"/>
          <w:szCs w:val="24"/>
        </w:rPr>
        <w:t xml:space="preserve">Beneficiar:                                    </w:t>
      </w:r>
      <w:r w:rsidR="00497FF5" w:rsidRPr="00FC39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7FC0" w:rsidRPr="00FC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2E">
        <w:rPr>
          <w:rFonts w:ascii="Times New Roman" w:hAnsi="Times New Roman" w:cs="Times New Roman"/>
          <w:b/>
          <w:sz w:val="24"/>
          <w:szCs w:val="24"/>
        </w:rPr>
        <w:t>Compania Na</w:t>
      </w:r>
      <w:r w:rsidR="00395EC5" w:rsidRPr="00FC392E">
        <w:rPr>
          <w:rFonts w:ascii="Times New Roman" w:hAnsi="Times New Roman" w:cs="Times New Roman"/>
          <w:b/>
          <w:sz w:val="24"/>
          <w:szCs w:val="24"/>
        </w:rPr>
        <w:t>ț</w:t>
      </w:r>
      <w:r w:rsidRPr="00FC392E">
        <w:rPr>
          <w:rFonts w:ascii="Times New Roman" w:hAnsi="Times New Roman" w:cs="Times New Roman"/>
          <w:b/>
          <w:sz w:val="24"/>
          <w:szCs w:val="24"/>
        </w:rPr>
        <w:t>ional</w:t>
      </w:r>
      <w:r w:rsidR="000F498B" w:rsidRPr="00FC392E">
        <w:rPr>
          <w:rFonts w:ascii="Times New Roman" w:hAnsi="Times New Roman" w:cs="Times New Roman"/>
          <w:b/>
          <w:sz w:val="24"/>
          <w:szCs w:val="24"/>
        </w:rPr>
        <w:t>ă</w:t>
      </w:r>
      <w:r w:rsidRPr="00FC392E">
        <w:rPr>
          <w:rFonts w:ascii="Times New Roman" w:hAnsi="Times New Roman" w:cs="Times New Roman"/>
          <w:b/>
          <w:sz w:val="24"/>
          <w:szCs w:val="24"/>
        </w:rPr>
        <w:t xml:space="preserve"> de Administrare a Infrastructurii Rutiere</w:t>
      </w:r>
      <w:r w:rsidR="002E1AEA" w:rsidRPr="00FC392E">
        <w:rPr>
          <w:rFonts w:ascii="Times New Roman" w:hAnsi="Times New Roman" w:cs="Times New Roman"/>
          <w:b/>
          <w:sz w:val="24"/>
          <w:szCs w:val="24"/>
        </w:rPr>
        <w:t xml:space="preserve"> S.A</w:t>
      </w:r>
      <w:r w:rsidR="00B93E5D" w:rsidRPr="00FC392E">
        <w:rPr>
          <w:rFonts w:ascii="Times New Roman" w:hAnsi="Times New Roman" w:cs="Times New Roman"/>
          <w:b/>
          <w:sz w:val="24"/>
          <w:szCs w:val="24"/>
        </w:rPr>
        <w:t>/</w:t>
      </w:r>
    </w:p>
    <w:p w14:paraId="6F3F39F6" w14:textId="6163E0C2" w:rsidR="009F191F" w:rsidRPr="00FC392E" w:rsidRDefault="000825BD" w:rsidP="008A1C35">
      <w:pPr>
        <w:spacing w:line="276" w:lineRule="auto"/>
        <w:ind w:left="3510" w:hanging="3510"/>
        <w:jc w:val="both"/>
        <w:rPr>
          <w:rFonts w:ascii="Times New Roman" w:hAnsi="Times New Roman"/>
          <w:b/>
          <w:bCs/>
          <w:sz w:val="24"/>
          <w:szCs w:val="24"/>
        </w:rPr>
      </w:pPr>
      <w:r w:rsidRPr="00FC392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BC01F1" w:rsidRPr="00FC392E">
        <w:rPr>
          <w:rFonts w:ascii="Times New Roman" w:hAnsi="Times New Roman"/>
          <w:b/>
          <w:bCs/>
          <w:sz w:val="24"/>
          <w:szCs w:val="24"/>
        </w:rPr>
        <w:t>Asocierea U</w:t>
      </w:r>
      <w:r w:rsidR="00BE5579" w:rsidRPr="00FC392E">
        <w:rPr>
          <w:rFonts w:ascii="Times New Roman" w:hAnsi="Times New Roman"/>
          <w:b/>
          <w:bCs/>
          <w:sz w:val="24"/>
          <w:szCs w:val="24"/>
        </w:rPr>
        <w:t>nităților Administrativ Teritoriale</w:t>
      </w:r>
      <w:r w:rsidR="00BC01F1" w:rsidRPr="00FC392E">
        <w:rPr>
          <w:rFonts w:ascii="Times New Roman" w:hAnsi="Times New Roman"/>
          <w:b/>
          <w:bCs/>
          <w:sz w:val="24"/>
          <w:szCs w:val="24"/>
        </w:rPr>
        <w:t xml:space="preserve"> Cluj</w:t>
      </w:r>
      <w:r w:rsidR="00BE5579" w:rsidRPr="00FC392E">
        <w:rPr>
          <w:rFonts w:ascii="Times New Roman" w:hAnsi="Times New Roman"/>
          <w:b/>
          <w:bCs/>
          <w:sz w:val="24"/>
          <w:szCs w:val="24"/>
        </w:rPr>
        <w:t>-</w:t>
      </w:r>
      <w:r w:rsidR="00BC01F1" w:rsidRPr="00FC392E">
        <w:rPr>
          <w:rFonts w:ascii="Times New Roman" w:hAnsi="Times New Roman"/>
          <w:b/>
          <w:bCs/>
          <w:sz w:val="24"/>
          <w:szCs w:val="24"/>
        </w:rPr>
        <w:t xml:space="preserve">Napoca, Gilău, Florești, Apahida și Baciu </w:t>
      </w:r>
    </w:p>
    <w:p w14:paraId="1EFB3C75" w14:textId="5430CD42" w:rsidR="00BC01F1" w:rsidRPr="00FC392E" w:rsidRDefault="00BC01F1" w:rsidP="008A1C35">
      <w:pPr>
        <w:spacing w:line="276" w:lineRule="auto"/>
        <w:ind w:left="3510" w:hanging="351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FC392E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14:paraId="619C3E42" w14:textId="7E23357F" w:rsidR="00FD41CF" w:rsidRPr="00FC392E" w:rsidRDefault="00833946" w:rsidP="008A1C35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FC392E">
        <w:rPr>
          <w:rFonts w:ascii="Times New Roman" w:hAnsi="Times New Roman" w:cs="Times New Roman"/>
          <w:b/>
          <w:sz w:val="24"/>
          <w:szCs w:val="24"/>
        </w:rPr>
        <w:t>Amplasament</w:t>
      </w:r>
      <w:r w:rsidR="00FD41CF" w:rsidRPr="00FC392E">
        <w:rPr>
          <w:rFonts w:ascii="Times New Roman" w:hAnsi="Times New Roman" w:cs="Times New Roman"/>
          <w:b/>
          <w:sz w:val="24"/>
          <w:szCs w:val="24"/>
        </w:rPr>
        <w:t>:</w:t>
      </w:r>
      <w:r w:rsidR="00FD41CF" w:rsidRPr="00FC392E">
        <w:rPr>
          <w:rFonts w:ascii="Times New Roman" w:hAnsi="Times New Roman" w:cs="Times New Roman"/>
          <w:b/>
          <w:sz w:val="24"/>
          <w:szCs w:val="24"/>
        </w:rPr>
        <w:tab/>
      </w:r>
      <w:r w:rsidR="00FD41CF" w:rsidRPr="00FC392E">
        <w:rPr>
          <w:rFonts w:ascii="Times New Roman" w:hAnsi="Times New Roman" w:cs="Times New Roman"/>
          <w:b/>
          <w:sz w:val="24"/>
          <w:szCs w:val="24"/>
        </w:rPr>
        <w:tab/>
      </w:r>
      <w:r w:rsidR="0014540A" w:rsidRPr="00FC39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D41CF" w:rsidRPr="00FC392E">
        <w:rPr>
          <w:rFonts w:ascii="Times New Roman" w:hAnsi="Times New Roman"/>
          <w:b/>
          <w:sz w:val="24"/>
          <w:szCs w:val="24"/>
          <w:lang w:eastAsia="zh-CN"/>
        </w:rPr>
        <w:t>Judeţ</w:t>
      </w:r>
      <w:r w:rsidR="00456288" w:rsidRPr="00FC392E">
        <w:rPr>
          <w:rFonts w:ascii="Times New Roman" w:hAnsi="Times New Roman"/>
          <w:b/>
          <w:sz w:val="24"/>
          <w:szCs w:val="24"/>
          <w:lang w:eastAsia="zh-CN"/>
        </w:rPr>
        <w:t>u</w:t>
      </w:r>
      <w:r w:rsidR="0014540A" w:rsidRPr="00FC392E">
        <w:rPr>
          <w:rFonts w:ascii="Times New Roman" w:hAnsi="Times New Roman"/>
          <w:b/>
          <w:sz w:val="24"/>
          <w:szCs w:val="24"/>
          <w:lang w:eastAsia="zh-CN"/>
        </w:rPr>
        <w:t xml:space="preserve">l </w:t>
      </w:r>
      <w:r w:rsidR="00AC5B56" w:rsidRPr="00FC392E">
        <w:rPr>
          <w:rFonts w:ascii="Times New Roman" w:hAnsi="Times New Roman"/>
          <w:b/>
          <w:sz w:val="24"/>
          <w:szCs w:val="24"/>
          <w:lang w:eastAsia="zh-CN"/>
        </w:rPr>
        <w:t>Cluj</w:t>
      </w:r>
    </w:p>
    <w:p w14:paraId="420D5C2B" w14:textId="05EB5981" w:rsidR="008B32ED" w:rsidRPr="00FC392E" w:rsidRDefault="008B32ED" w:rsidP="008A1C35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30D562CF" w14:textId="77777777" w:rsidR="0029597E" w:rsidRPr="00FC392E" w:rsidRDefault="0029597E" w:rsidP="008A1C35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5AA58445" w14:textId="61ACF251" w:rsidR="00186ECA" w:rsidRPr="00FC392E" w:rsidRDefault="00833946" w:rsidP="00186EC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Valoarea </w:t>
      </w:r>
      <w:r w:rsidR="00EF2B72" w:rsidRPr="00FC392E">
        <w:rPr>
          <w:rFonts w:ascii="Times New Roman" w:hAnsi="Times New Roman" w:cs="Times New Roman"/>
          <w:b/>
          <w:sz w:val="24"/>
          <w:szCs w:val="24"/>
          <w:lang w:val="it-IT"/>
        </w:rPr>
        <w:t>total</w:t>
      </w:r>
      <w:r w:rsidR="000F498B" w:rsidRPr="00FC392E">
        <w:rPr>
          <w:rFonts w:ascii="Times New Roman" w:hAnsi="Times New Roman" w:cs="Times New Roman"/>
          <w:b/>
          <w:sz w:val="24"/>
          <w:szCs w:val="24"/>
          <w:lang w:val="it-IT"/>
        </w:rPr>
        <w:t>ă</w:t>
      </w:r>
      <w:r w:rsidR="00EF2B72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86ECA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 investiției</w:t>
      </w:r>
      <w:r w:rsidR="00592166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pentru </w:t>
      </w:r>
      <w:r w:rsidR="00592166" w:rsidRPr="00FA2572">
        <w:rPr>
          <w:rFonts w:ascii="Times New Roman" w:hAnsi="Times New Roman" w:cs="Times New Roman"/>
          <w:b/>
          <w:iCs/>
          <w:sz w:val="24"/>
          <w:szCs w:val="24"/>
          <w:lang w:val="it-IT"/>
        </w:rPr>
        <w:t>F</w:t>
      </w:r>
      <w:r w:rsidR="00F96E9B" w:rsidRPr="00FA2572">
        <w:rPr>
          <w:rFonts w:ascii="Times New Roman" w:hAnsi="Times New Roman" w:cs="Times New Roman"/>
          <w:b/>
          <w:iCs/>
          <w:sz w:val="24"/>
          <w:szCs w:val="24"/>
          <w:lang w:val="it-IT"/>
        </w:rPr>
        <w:t>AZA</w:t>
      </w:r>
      <w:r w:rsidR="00592166" w:rsidRPr="00FA2572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I</w:t>
      </w:r>
      <w:r w:rsidR="00592166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86ECA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(inclusiv TVA):</w:t>
      </w:r>
      <w:r w:rsidR="00592166" w:rsidRPr="00FC392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</w:t>
      </w:r>
      <w:r w:rsidR="004C3046" w:rsidRPr="00FC392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</w:t>
      </w:r>
      <w:r w:rsidR="00575261" w:rsidRPr="00DB37AD">
        <w:rPr>
          <w:rFonts w:ascii="Times New Roman" w:hAnsi="Times New Roman" w:cs="Times New Roman"/>
          <w:b/>
          <w:sz w:val="24"/>
          <w:szCs w:val="24"/>
          <w:lang w:val="it-IT"/>
        </w:rPr>
        <w:t>6.870.10</w:t>
      </w:r>
      <w:r w:rsidR="00D32FF6">
        <w:rPr>
          <w:rFonts w:ascii="Times New Roman" w:hAnsi="Times New Roman" w:cs="Times New Roman"/>
          <w:b/>
          <w:sz w:val="24"/>
          <w:szCs w:val="24"/>
          <w:lang w:val="it-IT"/>
        </w:rPr>
        <w:t>9</w:t>
      </w:r>
      <w:r w:rsidR="00575261" w:rsidRPr="00DB37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7526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75261" w:rsidRPr="00DB37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mii </w:t>
      </w:r>
      <w:r w:rsidR="006C2B21" w:rsidRPr="00FC392E">
        <w:rPr>
          <w:rFonts w:ascii="Times New Roman" w:hAnsi="Times New Roman"/>
          <w:b/>
          <w:sz w:val="24"/>
          <w:szCs w:val="24"/>
        </w:rPr>
        <w:t>lei</w:t>
      </w:r>
    </w:p>
    <w:p w14:paraId="5E8FA894" w14:textId="4BE8097B" w:rsidR="00833946" w:rsidRPr="00FC392E" w:rsidRDefault="00575261" w:rsidP="00FA2572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C2934">
        <w:rPr>
          <w:rFonts w:ascii="Times New Roman" w:hAnsi="Times New Roman" w:cs="Times New Roman"/>
          <w:lang w:val="it-IT"/>
        </w:rPr>
        <w:t>(în prețuri la 15.01.2025 / 1 euro = 4,975</w:t>
      </w:r>
      <w:r w:rsidR="009E177B">
        <w:rPr>
          <w:rFonts w:ascii="Times New Roman" w:hAnsi="Times New Roman" w:cs="Times New Roman"/>
          <w:lang w:val="it-IT"/>
        </w:rPr>
        <w:t>0</w:t>
      </w:r>
      <w:r w:rsidRPr="004C2934">
        <w:rPr>
          <w:rFonts w:ascii="Times New Roman" w:hAnsi="Times New Roman" w:cs="Times New Roman"/>
          <w:lang w:val="it-IT"/>
        </w:rPr>
        <w:t xml:space="preserve"> lei)</w:t>
      </w:r>
      <w:r w:rsidR="00EF2B72" w:rsidRPr="00FC392E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4D5141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186ECA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ab/>
      </w:r>
      <w:r w:rsidR="00592166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</w:t>
      </w:r>
      <w:r w:rsidR="00F96E9B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  </w:t>
      </w:r>
      <w:r w:rsidR="00592166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   </w:t>
      </w:r>
      <w:r w:rsidR="008910BF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</w:t>
      </w:r>
      <w:r w:rsidR="00592166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</w:t>
      </w:r>
    </w:p>
    <w:p w14:paraId="48B6E1FC" w14:textId="77777777" w:rsidR="00F25F1A" w:rsidRDefault="00833946" w:rsidP="00833946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din care C+M</w:t>
      </w:r>
      <w:r w:rsidR="001E2E51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7164A" w:rsidRPr="00FC392E">
        <w:rPr>
          <w:rFonts w:ascii="Times New Roman" w:hAnsi="Times New Roman" w:cs="Times New Roman"/>
          <w:b/>
          <w:sz w:val="24"/>
          <w:szCs w:val="24"/>
          <w:lang w:val="it-IT"/>
        </w:rPr>
        <w:t>(inclusiv TVA)</w:t>
      </w:r>
      <w:r w:rsidRPr="00FC392E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FC392E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                  </w:t>
      </w:r>
      <w:r w:rsidR="0047164A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B32ED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67FC0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F498B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  <w:r w:rsidR="00167FC0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86ECA" w:rsidRPr="00FC392E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592166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</w:t>
      </w:r>
      <w:r w:rsidR="00F96E9B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5520A5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92166" w:rsidRPr="00FC39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7526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  <w:r w:rsidR="00575261" w:rsidRPr="00DB37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4.753.961 </w:t>
      </w:r>
      <w:r w:rsidR="0057526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75261" w:rsidRPr="00DB37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mii </w:t>
      </w:r>
      <w:r w:rsidR="006C2B21" w:rsidRPr="00FC392E">
        <w:rPr>
          <w:rFonts w:ascii="Times New Roman" w:hAnsi="Times New Roman"/>
          <w:b/>
          <w:sz w:val="24"/>
          <w:szCs w:val="24"/>
        </w:rPr>
        <w:t>lei</w:t>
      </w:r>
      <w:r w:rsidRPr="00FC392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 </w:t>
      </w:r>
    </w:p>
    <w:p w14:paraId="7CF8BD2E" w14:textId="77777777" w:rsidR="00F25F1A" w:rsidRDefault="00F25F1A" w:rsidP="00833946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4522A16" w14:textId="2B086ADF" w:rsidR="00833946" w:rsidRPr="00FC392E" w:rsidRDefault="00EF2B72" w:rsidP="00833946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C392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8C7094" w:rsidRPr="00FC392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="00186ECA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ab/>
      </w:r>
      <w:r w:rsidR="006C2B21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ab/>
      </w:r>
      <w:r w:rsidR="006C2B21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ab/>
      </w:r>
      <w:r w:rsidR="006C2B21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ab/>
      </w:r>
      <w:r w:rsidR="006C2B21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ab/>
      </w:r>
      <w:r w:rsidR="006C2B21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ab/>
      </w:r>
      <w:r w:rsidR="006C2B21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ab/>
      </w:r>
      <w:r w:rsidR="00574EA1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 </w:t>
      </w:r>
      <w:r w:rsidR="00592166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</w:t>
      </w:r>
      <w:r w:rsidR="00F96E9B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</w:t>
      </w:r>
      <w:r w:rsidR="00592166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  </w:t>
      </w:r>
      <w:r w:rsidR="00F96E9B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</w:t>
      </w:r>
      <w:r w:rsidR="00574EA1" w:rsidRPr="00FC392E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ro-RO"/>
        </w:rPr>
        <w:t xml:space="preserve"> </w:t>
      </w:r>
    </w:p>
    <w:p w14:paraId="6F2569DA" w14:textId="0BB12E97" w:rsidR="00A82052" w:rsidRDefault="00FA2572" w:rsidP="00833946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Valoare rest de finanțat pentru FAZA I (inclusiv TVA):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                   6.846.226  mii lei</w:t>
      </w:r>
    </w:p>
    <w:p w14:paraId="53E41A5D" w14:textId="61F14863" w:rsidR="00FA2572" w:rsidRPr="00FC392E" w:rsidRDefault="00FA2572" w:rsidP="00833946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</w:t>
      </w:r>
      <w:r w:rsidRPr="00FC392E">
        <w:rPr>
          <w:rFonts w:ascii="Times New Roman" w:hAnsi="Times New Roman" w:cs="Times New Roman"/>
          <w:b/>
          <w:sz w:val="24"/>
          <w:szCs w:val="24"/>
          <w:lang w:val="it-IT"/>
        </w:rPr>
        <w:t>din care C+M (inclusiv TVA):</w:t>
      </w:r>
      <w:r w:rsidRPr="00FC392E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                         </w:t>
      </w:r>
      <w:r w:rsidRPr="00FC392E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  <w:r w:rsidRPr="00DB37AD">
        <w:rPr>
          <w:rFonts w:ascii="Times New Roman" w:hAnsi="Times New Roman" w:cs="Times New Roman"/>
          <w:b/>
          <w:sz w:val="24"/>
          <w:szCs w:val="24"/>
          <w:lang w:val="it-IT"/>
        </w:rPr>
        <w:t>4.7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45.510</w:t>
      </w:r>
      <w:r w:rsidRPr="00DB37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DB37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mii </w:t>
      </w:r>
      <w:r w:rsidRPr="00FC392E">
        <w:rPr>
          <w:rFonts w:ascii="Times New Roman" w:hAnsi="Times New Roman"/>
          <w:b/>
          <w:sz w:val="24"/>
          <w:szCs w:val="24"/>
        </w:rPr>
        <w:t>lei</w:t>
      </w:r>
      <w:r w:rsidRPr="00FC392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 </w:t>
      </w:r>
    </w:p>
    <w:p w14:paraId="0D0DCF86" w14:textId="77777777" w:rsidR="00FA2572" w:rsidRDefault="00FA2572" w:rsidP="009508AD">
      <w:pPr>
        <w:rPr>
          <w:rFonts w:ascii="Times New Roman" w:hAnsi="Times New Roman" w:cs="Times New Roman"/>
          <w:b/>
          <w:sz w:val="24"/>
          <w:szCs w:val="24"/>
        </w:rPr>
      </w:pPr>
    </w:p>
    <w:p w14:paraId="095AC490" w14:textId="10420091" w:rsidR="00833946" w:rsidRPr="00FC392E" w:rsidRDefault="00833946" w:rsidP="009508AD">
      <w:pPr>
        <w:rPr>
          <w:rFonts w:ascii="Times New Roman" w:hAnsi="Times New Roman" w:cs="Times New Roman"/>
          <w:b/>
          <w:sz w:val="24"/>
          <w:szCs w:val="24"/>
        </w:rPr>
      </w:pPr>
      <w:r w:rsidRPr="00FC392E">
        <w:rPr>
          <w:rFonts w:ascii="Times New Roman" w:hAnsi="Times New Roman" w:cs="Times New Roman"/>
          <w:b/>
          <w:sz w:val="24"/>
          <w:szCs w:val="24"/>
        </w:rPr>
        <w:t>Durata de execu</w:t>
      </w:r>
      <w:r w:rsidR="00147461" w:rsidRPr="00FC392E">
        <w:rPr>
          <w:rFonts w:ascii="Times New Roman" w:hAnsi="Times New Roman" w:cs="Times New Roman"/>
          <w:b/>
          <w:sz w:val="24"/>
          <w:szCs w:val="24"/>
        </w:rPr>
        <w:t>ț</w:t>
      </w:r>
      <w:r w:rsidRPr="00FC392E">
        <w:rPr>
          <w:rFonts w:ascii="Times New Roman" w:hAnsi="Times New Roman" w:cs="Times New Roman"/>
          <w:b/>
          <w:sz w:val="24"/>
          <w:szCs w:val="24"/>
        </w:rPr>
        <w:t xml:space="preserve">ie a </w:t>
      </w:r>
      <w:r w:rsidR="00FA2572">
        <w:rPr>
          <w:rFonts w:ascii="Times New Roman" w:hAnsi="Times New Roman" w:cs="Times New Roman"/>
          <w:b/>
          <w:sz w:val="24"/>
          <w:szCs w:val="24"/>
        </w:rPr>
        <w:t>investiției rest de executat</w:t>
      </w:r>
      <w:r w:rsidR="00813715" w:rsidRPr="00FC392E">
        <w:rPr>
          <w:rFonts w:ascii="Times New Roman" w:hAnsi="Times New Roman" w:cs="Times New Roman"/>
          <w:b/>
          <w:sz w:val="24"/>
          <w:szCs w:val="24"/>
        </w:rPr>
        <w:t xml:space="preserve"> pentru </w:t>
      </w:r>
      <w:r w:rsidR="007D32AF" w:rsidRPr="00FC392E">
        <w:rPr>
          <w:rFonts w:ascii="Times New Roman" w:hAnsi="Times New Roman" w:cs="Times New Roman"/>
          <w:b/>
          <w:sz w:val="24"/>
          <w:szCs w:val="24"/>
        </w:rPr>
        <w:t>FAZA I</w:t>
      </w:r>
      <w:r w:rsidRPr="00FC392E">
        <w:rPr>
          <w:rFonts w:ascii="Times New Roman" w:hAnsi="Times New Roman" w:cs="Times New Roman"/>
          <w:b/>
          <w:sz w:val="24"/>
          <w:szCs w:val="24"/>
        </w:rPr>
        <w:t>:</w:t>
      </w:r>
      <w:r w:rsidR="00FA257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C2B21" w:rsidRPr="00FC392E">
        <w:rPr>
          <w:rFonts w:ascii="Times New Roman" w:hAnsi="Times New Roman" w:cs="Times New Roman"/>
          <w:b/>
          <w:sz w:val="24"/>
          <w:szCs w:val="24"/>
        </w:rPr>
        <w:t>48</w:t>
      </w:r>
      <w:r w:rsidRPr="00FC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461" w:rsidRPr="00FC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2E">
        <w:rPr>
          <w:rFonts w:ascii="Times New Roman" w:hAnsi="Times New Roman" w:cs="Times New Roman"/>
          <w:b/>
          <w:sz w:val="24"/>
          <w:szCs w:val="24"/>
        </w:rPr>
        <w:t xml:space="preserve">luni </w:t>
      </w:r>
    </w:p>
    <w:p w14:paraId="498879D7" w14:textId="77777777" w:rsidR="00AC5B56" w:rsidRPr="00FC392E" w:rsidRDefault="00AC5B56" w:rsidP="009508AD">
      <w:pPr>
        <w:rPr>
          <w:rFonts w:ascii="Times New Roman" w:hAnsi="Times New Roman" w:cs="Times New Roman"/>
          <w:b/>
          <w:sz w:val="24"/>
          <w:szCs w:val="24"/>
        </w:rPr>
      </w:pPr>
    </w:p>
    <w:p w14:paraId="10B9C819" w14:textId="27CAF244" w:rsidR="00A376C3" w:rsidRPr="00FC392E" w:rsidRDefault="00A376C3" w:rsidP="00A376C3">
      <w:pP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</w:pPr>
      <w:proofErr w:type="spellStart"/>
      <w:proofErr w:type="gramStart"/>
      <w:r w:rsidRPr="00FC392E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Eşalonarea</w:t>
      </w:r>
      <w:proofErr w:type="spellEnd"/>
      <w:r w:rsidRPr="00FC392E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</w:t>
      </w:r>
      <w:r w:rsidR="00813715" w:rsidRPr="00FC392E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A257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restului</w:t>
      </w:r>
      <w:proofErr w:type="spellEnd"/>
      <w:proofErr w:type="gramEnd"/>
      <w:r w:rsidR="00FA257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de </w:t>
      </w:r>
      <w:proofErr w:type="spellStart"/>
      <w:r w:rsidR="00FA257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finan</w:t>
      </w:r>
      <w:r w:rsidR="009E177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ț</w:t>
      </w:r>
      <w:r w:rsidR="00FA257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at</w:t>
      </w:r>
      <w:proofErr w:type="spellEnd"/>
      <w:r w:rsidR="00FA257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</w:t>
      </w:r>
      <w:r w:rsidR="00813715" w:rsidRPr="00FC392E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FAZA I</w:t>
      </w:r>
      <w:r w:rsidRPr="00FC392E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(INV/C+M):</w:t>
      </w:r>
    </w:p>
    <w:p w14:paraId="423E2EF0" w14:textId="77777777" w:rsidR="00A376C3" w:rsidRPr="00FC392E" w:rsidRDefault="00A376C3" w:rsidP="00A376C3">
      <w:pPr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val="it-IT"/>
        </w:rPr>
      </w:pPr>
      <w:r w:rsidRPr="00FC392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val="it-IT"/>
        </w:rPr>
        <w:tab/>
      </w:r>
    </w:p>
    <w:tbl>
      <w:tblPr>
        <w:tblW w:w="9001" w:type="dxa"/>
        <w:tblLook w:val="04A0" w:firstRow="1" w:lastRow="0" w:firstColumn="1" w:lastColumn="0" w:noHBand="0" w:noVBand="1"/>
      </w:tblPr>
      <w:tblGrid>
        <w:gridCol w:w="1276"/>
        <w:gridCol w:w="725"/>
        <w:gridCol w:w="1176"/>
        <w:gridCol w:w="960"/>
        <w:gridCol w:w="727"/>
        <w:gridCol w:w="1276"/>
        <w:gridCol w:w="725"/>
        <w:gridCol w:w="1176"/>
        <w:gridCol w:w="960"/>
      </w:tblGrid>
      <w:tr w:rsidR="00575261" w:rsidRPr="00FC392E" w14:paraId="449C4CC1" w14:textId="77777777" w:rsidTr="000F2385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941E" w14:textId="4812477B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ANUL 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B4679" w14:textId="25F8E41D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INV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1B684C" w14:textId="23C3446E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DB37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2.0</w:t>
            </w:r>
            <w:r w:rsidR="00FA25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  <w:r w:rsidR="009E17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D0B5F" w14:textId="78A2DB88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mii lei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F43B" w14:textId="77777777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6888" w14:textId="4023C5DB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ANUL II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5EEDE" w14:textId="7F5460FA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INV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97CBB" w14:textId="1A886199" w:rsidR="00575261" w:rsidRPr="00FC392E" w:rsidRDefault="00575261" w:rsidP="0057526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DB37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2.0</w:t>
            </w:r>
            <w:r w:rsidR="009E17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31A14" w14:textId="15DA8D36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mii lei</w:t>
            </w:r>
          </w:p>
        </w:tc>
      </w:tr>
      <w:tr w:rsidR="00575261" w:rsidRPr="00FC392E" w14:paraId="7C0733F9" w14:textId="77777777" w:rsidTr="000F2385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9A3" w14:textId="77777777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8DAB" w14:textId="3F1E2B1F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C+M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B7AF97" w14:textId="344EB9CA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B37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1.42</w:t>
            </w:r>
            <w:r w:rsidR="009E17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3.653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FEDD" w14:textId="73CAA08F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mii lei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10F1" w14:textId="77777777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D147" w14:textId="77777777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o-R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7EF" w14:textId="72883DB6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C+M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13881B" w14:textId="402A452B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B37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1.42</w:t>
            </w:r>
            <w:r w:rsidR="009E17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3.653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5B10" w14:textId="23B58774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mii lei</w:t>
            </w:r>
          </w:p>
        </w:tc>
      </w:tr>
      <w:tr w:rsidR="00575261" w:rsidRPr="00FC392E" w14:paraId="69E68EB1" w14:textId="77777777" w:rsidTr="000F2385">
        <w:trPr>
          <w:trHeight w:val="4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3F33" w14:textId="77777777" w:rsidR="00575261" w:rsidRPr="007D6DB9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  <w:p w14:paraId="68086509" w14:textId="77777777" w:rsidR="00575261" w:rsidRPr="007D6DB9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  <w:p w14:paraId="602CAA7D" w14:textId="2518FE7C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ANUL III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6EEE" w14:textId="347DEC5F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INV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D5B0D" w14:textId="0AB50CB7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DB37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</w:t>
            </w:r>
            <w:r w:rsidR="009E17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B0394" w14:textId="13AC455A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mii lei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EFFF" w14:textId="77777777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026C" w14:textId="74A1D2DE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ANUL IV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1BB95" w14:textId="0F99D0A3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INV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60E82" w14:textId="4529FB8A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B37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</w:t>
            </w:r>
            <w:r w:rsidR="009E17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760BA" w14:textId="6D6F7243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mii lei</w:t>
            </w:r>
          </w:p>
        </w:tc>
      </w:tr>
      <w:tr w:rsidR="00575261" w:rsidRPr="00FC392E" w14:paraId="5DC693EA" w14:textId="77777777" w:rsidTr="000F2385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54F" w14:textId="77777777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EF4" w14:textId="1FC388F4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C+M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275A9" w14:textId="39348121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DB37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9E17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49.102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7EA7" w14:textId="240A6220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mii lei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B797" w14:textId="77777777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FD69" w14:textId="77777777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o-R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9204" w14:textId="1E8D2332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C+M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E7A73" w14:textId="037F763F" w:rsidR="00575261" w:rsidRPr="00FC392E" w:rsidRDefault="00575261" w:rsidP="00575261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B37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9E17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49.102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3CD5" w14:textId="25C5529F" w:rsidR="00575261" w:rsidRPr="00FC392E" w:rsidRDefault="00575261" w:rsidP="0057526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</w:pPr>
            <w:r w:rsidRPr="007D6DB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o-RO"/>
              </w:rPr>
              <w:t>mii lei</w:t>
            </w:r>
          </w:p>
        </w:tc>
      </w:tr>
    </w:tbl>
    <w:p w14:paraId="6F0590C6" w14:textId="77777777" w:rsidR="008152DF" w:rsidRPr="00FC392E" w:rsidRDefault="008152DF" w:rsidP="00CA6F28">
      <w:pP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</w:pPr>
    </w:p>
    <w:p w14:paraId="25E6EAC8" w14:textId="161C426F" w:rsidR="0029597E" w:rsidRPr="00FC392E" w:rsidRDefault="00F25F1A" w:rsidP="00833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Capacități: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1878"/>
        <w:gridCol w:w="3476"/>
      </w:tblGrid>
      <w:tr w:rsidR="00575261" w:rsidRPr="007D6DB9" w14:paraId="72B4CE39" w14:textId="77777777" w:rsidTr="00D01573">
        <w:tc>
          <w:tcPr>
            <w:tcW w:w="5176" w:type="dxa"/>
          </w:tcPr>
          <w:p w14:paraId="74CDB39D" w14:textId="77777777" w:rsidR="00575261" w:rsidRPr="007D6DB9" w:rsidRDefault="00575261" w:rsidP="000B7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Centura metropolitană</w:t>
            </w:r>
          </w:p>
        </w:tc>
        <w:tc>
          <w:tcPr>
            <w:tcW w:w="1878" w:type="dxa"/>
            <w:vAlign w:val="center"/>
          </w:tcPr>
          <w:p w14:paraId="12709369" w14:textId="7C29FD83" w:rsidR="00575261" w:rsidRPr="007D6DB9" w:rsidRDefault="00575261" w:rsidP="000B78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  <w:r w:rsidRPr="007D6DB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3476" w:type="dxa"/>
            <w:vAlign w:val="center"/>
          </w:tcPr>
          <w:p w14:paraId="03D3E2EA" w14:textId="77777777" w:rsidR="00575261" w:rsidRPr="007D6DB9" w:rsidRDefault="00575261" w:rsidP="000B78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DB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km</w:t>
            </w:r>
          </w:p>
        </w:tc>
      </w:tr>
      <w:tr w:rsidR="00575261" w:rsidRPr="007D6DB9" w14:paraId="08F1B0C1" w14:textId="77777777" w:rsidTr="00D01573">
        <w:tc>
          <w:tcPr>
            <w:tcW w:w="5176" w:type="dxa"/>
          </w:tcPr>
          <w:p w14:paraId="1D5848C9" w14:textId="77777777" w:rsidR="00575261" w:rsidRPr="007D6DB9" w:rsidRDefault="00575261" w:rsidP="000B7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Drumuri de legătură</w:t>
            </w:r>
          </w:p>
        </w:tc>
        <w:tc>
          <w:tcPr>
            <w:tcW w:w="1878" w:type="dxa"/>
            <w:vAlign w:val="center"/>
          </w:tcPr>
          <w:p w14:paraId="5EED0608" w14:textId="439A6AE8" w:rsidR="00575261" w:rsidRPr="007D6DB9" w:rsidRDefault="00575261" w:rsidP="000B78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  <w:r w:rsidRPr="007D6DB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3476" w:type="dxa"/>
            <w:vAlign w:val="center"/>
          </w:tcPr>
          <w:p w14:paraId="460D57E4" w14:textId="77777777" w:rsidR="00575261" w:rsidRPr="007D6DB9" w:rsidRDefault="00575261" w:rsidP="000B78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DB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km</w:t>
            </w:r>
          </w:p>
        </w:tc>
      </w:tr>
      <w:tr w:rsidR="00575261" w:rsidRPr="007D6DB9" w14:paraId="5EF5466F" w14:textId="77777777" w:rsidTr="00D01573">
        <w:tc>
          <w:tcPr>
            <w:tcW w:w="5176" w:type="dxa"/>
          </w:tcPr>
          <w:p w14:paraId="3B16974F" w14:textId="77777777" w:rsidR="00575261" w:rsidRPr="007D6DB9" w:rsidRDefault="00575261" w:rsidP="000B7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Noduri rutiere</w:t>
            </w:r>
          </w:p>
        </w:tc>
        <w:tc>
          <w:tcPr>
            <w:tcW w:w="1878" w:type="dxa"/>
            <w:vAlign w:val="center"/>
          </w:tcPr>
          <w:p w14:paraId="6CB77834" w14:textId="561FB178" w:rsidR="00575261" w:rsidRPr="007D6DB9" w:rsidRDefault="00575261" w:rsidP="000B78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3476" w:type="dxa"/>
            <w:vAlign w:val="center"/>
          </w:tcPr>
          <w:p w14:paraId="558B602B" w14:textId="77777777" w:rsidR="00575261" w:rsidRPr="007D6DB9" w:rsidRDefault="00575261" w:rsidP="000B78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DB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bucăți</w:t>
            </w:r>
          </w:p>
        </w:tc>
      </w:tr>
      <w:tr w:rsidR="00575261" w:rsidRPr="007D6DB9" w14:paraId="56E837E0" w14:textId="77777777" w:rsidTr="00D01573">
        <w:tc>
          <w:tcPr>
            <w:tcW w:w="5176" w:type="dxa"/>
          </w:tcPr>
          <w:p w14:paraId="029BF0FC" w14:textId="77777777" w:rsidR="00575261" w:rsidRPr="007D6DB9" w:rsidRDefault="00575261" w:rsidP="000B78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Structuri</w:t>
            </w:r>
          </w:p>
        </w:tc>
        <w:tc>
          <w:tcPr>
            <w:tcW w:w="1878" w:type="dxa"/>
            <w:vAlign w:val="center"/>
          </w:tcPr>
          <w:p w14:paraId="3378B329" w14:textId="4DECD23E" w:rsidR="00575261" w:rsidRPr="007D6DB9" w:rsidRDefault="00575261" w:rsidP="000B7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3476" w:type="dxa"/>
            <w:vAlign w:val="center"/>
          </w:tcPr>
          <w:p w14:paraId="387E0DE7" w14:textId="77777777" w:rsidR="00575261" w:rsidRPr="007D6DB9" w:rsidRDefault="00575261" w:rsidP="000B7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bucăți</w:t>
            </w:r>
          </w:p>
        </w:tc>
      </w:tr>
      <w:tr w:rsidR="00575261" w14:paraId="1E721723" w14:textId="77777777" w:rsidTr="00D01573">
        <w:tc>
          <w:tcPr>
            <w:tcW w:w="5176" w:type="dxa"/>
          </w:tcPr>
          <w:p w14:paraId="25B467DD" w14:textId="77777777" w:rsidR="00575261" w:rsidRDefault="00575261" w:rsidP="000B78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Tuneluri</w:t>
            </w:r>
          </w:p>
        </w:tc>
        <w:tc>
          <w:tcPr>
            <w:tcW w:w="1878" w:type="dxa"/>
            <w:vAlign w:val="center"/>
          </w:tcPr>
          <w:p w14:paraId="15015ACF" w14:textId="77777777" w:rsidR="00575261" w:rsidRDefault="00575261" w:rsidP="000B7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476" w:type="dxa"/>
            <w:vAlign w:val="center"/>
          </w:tcPr>
          <w:p w14:paraId="700582A6" w14:textId="77777777" w:rsidR="00575261" w:rsidRDefault="00575261" w:rsidP="000B7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bucăți</w:t>
            </w:r>
          </w:p>
        </w:tc>
      </w:tr>
      <w:tr w:rsidR="00575261" w14:paraId="01B905A3" w14:textId="77777777" w:rsidTr="00D01573">
        <w:tc>
          <w:tcPr>
            <w:tcW w:w="5176" w:type="dxa"/>
          </w:tcPr>
          <w:p w14:paraId="19EE64DF" w14:textId="77777777" w:rsidR="00575261" w:rsidRDefault="00575261" w:rsidP="000B78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Piste de biciclete</w:t>
            </w:r>
          </w:p>
        </w:tc>
        <w:tc>
          <w:tcPr>
            <w:tcW w:w="1878" w:type="dxa"/>
            <w:vAlign w:val="center"/>
          </w:tcPr>
          <w:p w14:paraId="69A0799A" w14:textId="07C823F4" w:rsidR="00575261" w:rsidRDefault="00D01573" w:rsidP="000B7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  <w:r w:rsidR="0057526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3476" w:type="dxa"/>
            <w:vAlign w:val="center"/>
          </w:tcPr>
          <w:p w14:paraId="4C660ACC" w14:textId="4EED733C" w:rsidR="00575261" w:rsidRDefault="008B61BD" w:rsidP="000B7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km</w:t>
            </w:r>
          </w:p>
        </w:tc>
      </w:tr>
      <w:tr w:rsidR="00575261" w:rsidRPr="007D6DB9" w14:paraId="209A8D6D" w14:textId="77777777" w:rsidTr="00D01573">
        <w:tc>
          <w:tcPr>
            <w:tcW w:w="5176" w:type="dxa"/>
          </w:tcPr>
          <w:p w14:paraId="3219E34E" w14:textId="77777777" w:rsidR="00575261" w:rsidRPr="007D6DB9" w:rsidRDefault="00575261" w:rsidP="000B78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Centru de întreținere</w:t>
            </w:r>
          </w:p>
        </w:tc>
        <w:tc>
          <w:tcPr>
            <w:tcW w:w="1878" w:type="dxa"/>
            <w:vAlign w:val="center"/>
          </w:tcPr>
          <w:p w14:paraId="2631FDCF" w14:textId="48C42BA7" w:rsidR="00575261" w:rsidRPr="007D6DB9" w:rsidRDefault="00D01573" w:rsidP="000B7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476" w:type="dxa"/>
            <w:vAlign w:val="center"/>
          </w:tcPr>
          <w:p w14:paraId="66E2A9D7" w14:textId="3DE1B75F" w:rsidR="00575261" w:rsidRPr="007D6DB9" w:rsidRDefault="00575261" w:rsidP="000B7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  <w:r w:rsidR="00D0157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ată</w:t>
            </w:r>
          </w:p>
        </w:tc>
      </w:tr>
    </w:tbl>
    <w:p w14:paraId="38B21EF1" w14:textId="44B71976" w:rsidR="00F1274A" w:rsidRDefault="00F1274A" w:rsidP="00D937F8">
      <w:pPr>
        <w:pStyle w:val="NoSpacing"/>
      </w:pPr>
    </w:p>
    <w:p w14:paraId="3F58A02E" w14:textId="77777777" w:rsidR="000651DD" w:rsidRPr="00FC392E" w:rsidRDefault="000651DD" w:rsidP="00D937F8">
      <w:pPr>
        <w:pStyle w:val="NoSpacing"/>
      </w:pPr>
    </w:p>
    <w:p w14:paraId="7F2DBD6F" w14:textId="77777777" w:rsidR="00833946" w:rsidRPr="00FC392E" w:rsidRDefault="00833946" w:rsidP="00833946">
      <w:pPr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FC392E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Factori de risc:</w:t>
      </w:r>
    </w:p>
    <w:p w14:paraId="18C9592B" w14:textId="5EFA08DA" w:rsidR="0063075E" w:rsidRPr="00FC392E" w:rsidRDefault="0063075E" w:rsidP="0063075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FC392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Obiectivul se va proteja antiseismic conform prevederilor Normativului </w:t>
      </w:r>
      <w:r w:rsidR="0029597E" w:rsidRPr="00FC392E"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Pr="00FC392E">
        <w:rPr>
          <w:rFonts w:ascii="Times New Roman" w:eastAsia="Times New Roman" w:hAnsi="Times New Roman" w:cs="Times New Roman"/>
          <w:noProof w:val="0"/>
          <w:sz w:val="24"/>
          <w:szCs w:val="24"/>
        </w:rPr>
        <w:t>Cod de proiectare seismică</w:t>
      </w:r>
      <w:r w:rsidR="0029597E" w:rsidRPr="00FC392E">
        <w:rPr>
          <w:rFonts w:ascii="Times New Roman" w:eastAsia="Times New Roman" w:hAnsi="Times New Roman" w:cs="Times New Roman"/>
          <w:noProof w:val="0"/>
          <w:sz w:val="24"/>
          <w:szCs w:val="24"/>
        </w:rPr>
        <w:t>”</w:t>
      </w:r>
      <w:r w:rsidRPr="00FC392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 100-1</w:t>
      </w:r>
      <w:r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/2013</w:t>
      </w:r>
      <w:r w:rsidR="0029597E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cu </w:t>
      </w:r>
      <w:proofErr w:type="spellStart"/>
      <w:r w:rsidR="0029597E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modific</w:t>
      </w:r>
      <w:r w:rsidR="00AF17E3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ă</w:t>
      </w:r>
      <w:r w:rsidR="0029597E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rile</w:t>
      </w:r>
      <w:proofErr w:type="spellEnd"/>
      <w:r w:rsidR="0029597E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AF17E3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și</w:t>
      </w:r>
      <w:proofErr w:type="spellEnd"/>
      <w:r w:rsidR="00AF17E3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29597E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complet</w:t>
      </w:r>
      <w:r w:rsidR="00AF17E3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ă</w:t>
      </w:r>
      <w:r w:rsidR="0029597E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rile</w:t>
      </w:r>
      <w:proofErr w:type="spellEnd"/>
      <w:r w:rsidR="0029597E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29597E"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ulterioare</w:t>
      </w:r>
      <w:proofErr w:type="spellEnd"/>
      <w:r w:rsidRPr="00FC392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14:paraId="7CE69C3D" w14:textId="77777777" w:rsidR="008152DF" w:rsidRPr="00FC392E" w:rsidRDefault="008152DF" w:rsidP="0063075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14:paraId="6545DE70" w14:textId="77777777" w:rsidR="00FC392E" w:rsidRPr="007D6DB9" w:rsidRDefault="00FC392E" w:rsidP="00FC392E">
      <w:pPr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proofErr w:type="spellStart"/>
      <w:r w:rsidRPr="007D6DB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Finanţarea</w:t>
      </w:r>
      <w:proofErr w:type="spellEnd"/>
      <w:r w:rsidRPr="007D6DB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investiţiei</w:t>
      </w:r>
      <w:proofErr w:type="spellEnd"/>
    </w:p>
    <w:p w14:paraId="44734AD9" w14:textId="77777777" w:rsidR="00FC392E" w:rsidRPr="007D6DB9" w:rsidRDefault="00FC392E" w:rsidP="00FC392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Finanţarea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obiectivului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de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investiţii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se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realizează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din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fonduri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externe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nerambursabile</w:t>
      </w:r>
      <w:proofErr w:type="spellEnd"/>
      <w:r w:rsidRPr="007D6DB9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en-US"/>
        </w:rPr>
        <w:t>-</w:t>
      </w:r>
      <w:r w:rsidRPr="007D6DB9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en-US"/>
        </w:rPr>
        <w:t>Programul</w:t>
      </w:r>
      <w:proofErr w:type="spellEnd"/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Tra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</w:t>
      </w:r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sport (PT) 2021-2027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şi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de la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bugetul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de stat,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prin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bugetul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Ministerului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Transporturilor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şi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Infrastructurii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în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limita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sumelor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aprobate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anual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cu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această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destinaţie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, precum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şi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din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alte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surse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legal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constituite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, conform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programelor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de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investiţii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publice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aprobate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potrivit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legii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.</w:t>
      </w:r>
    </w:p>
    <w:p w14:paraId="160B50B5" w14:textId="77777777" w:rsidR="00FC392E" w:rsidRPr="007D6DB9" w:rsidRDefault="00FC392E" w:rsidP="00FC392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D6DB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D6DB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D6DB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D6DB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D6DB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D6DB9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</w:t>
      </w:r>
    </w:p>
    <w:p w14:paraId="437C9A52" w14:textId="21F23E1F" w:rsidR="005520A5" w:rsidRPr="00FC392E" w:rsidRDefault="005520A5" w:rsidP="00FC392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5520A5" w:rsidRPr="00FC392E" w:rsidSect="00FC2958">
      <w:footerReference w:type="default" r:id="rId7"/>
      <w:pgSz w:w="12240" w:h="15840"/>
      <w:pgMar w:top="450" w:right="72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AC87" w14:textId="77777777" w:rsidR="00693599" w:rsidRDefault="00693599" w:rsidP="00CA6F28">
      <w:r>
        <w:separator/>
      </w:r>
    </w:p>
  </w:endnote>
  <w:endnote w:type="continuationSeparator" w:id="0">
    <w:p w14:paraId="2BD62B49" w14:textId="77777777" w:rsidR="00693599" w:rsidRDefault="00693599" w:rsidP="00CA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625770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1E1BE" w14:textId="6DB9B2B9" w:rsidR="00CA6F28" w:rsidRDefault="00CA6F2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93E5D">
          <w:t>2</w:t>
        </w:r>
        <w:r>
          <w:fldChar w:fldCharType="end"/>
        </w:r>
      </w:p>
    </w:sdtContent>
  </w:sdt>
  <w:p w14:paraId="731AB17F" w14:textId="77777777" w:rsidR="00CA6F28" w:rsidRDefault="00CA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2A8CC" w14:textId="77777777" w:rsidR="00693599" w:rsidRDefault="00693599" w:rsidP="00CA6F28">
      <w:r>
        <w:separator/>
      </w:r>
    </w:p>
  </w:footnote>
  <w:footnote w:type="continuationSeparator" w:id="0">
    <w:p w14:paraId="7751626A" w14:textId="77777777" w:rsidR="00693599" w:rsidRDefault="00693599" w:rsidP="00CA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14C4D"/>
    <w:multiLevelType w:val="hybridMultilevel"/>
    <w:tmpl w:val="D47070C2"/>
    <w:lvl w:ilvl="0" w:tplc="DAB855BE">
      <w:start w:val="19"/>
      <w:numFmt w:val="bullet"/>
      <w:lvlText w:val="-"/>
      <w:lvlJc w:val="left"/>
      <w:pPr>
        <w:ind w:left="4674" w:hanging="360"/>
      </w:pPr>
      <w:rPr>
        <w:rFonts w:ascii="Times New Roman" w:eastAsiaTheme="minorHAnsi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34" w:hanging="360"/>
      </w:pPr>
      <w:rPr>
        <w:rFonts w:ascii="Wingdings" w:hAnsi="Wingdings" w:hint="default"/>
      </w:rPr>
    </w:lvl>
  </w:abstractNum>
  <w:abstractNum w:abstractNumId="1" w15:restartNumberingAfterBreak="0">
    <w:nsid w:val="2E97121F"/>
    <w:multiLevelType w:val="hybridMultilevel"/>
    <w:tmpl w:val="CB168594"/>
    <w:lvl w:ilvl="0" w:tplc="F46EA88E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ECB3CC8"/>
    <w:multiLevelType w:val="hybridMultilevel"/>
    <w:tmpl w:val="21504DDA"/>
    <w:lvl w:ilvl="0" w:tplc="6CF0A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670694">
    <w:abstractNumId w:val="0"/>
  </w:num>
  <w:num w:numId="2" w16cid:durableId="231621095">
    <w:abstractNumId w:val="1"/>
  </w:num>
  <w:num w:numId="3" w16cid:durableId="129035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46"/>
    <w:rsid w:val="00051D6D"/>
    <w:rsid w:val="00057E8C"/>
    <w:rsid w:val="000651DD"/>
    <w:rsid w:val="000825BD"/>
    <w:rsid w:val="00096C10"/>
    <w:rsid w:val="000A2C38"/>
    <w:rsid w:val="000D163A"/>
    <w:rsid w:val="000F2385"/>
    <w:rsid w:val="000F498B"/>
    <w:rsid w:val="0013307A"/>
    <w:rsid w:val="0014540A"/>
    <w:rsid w:val="00147461"/>
    <w:rsid w:val="00167FC0"/>
    <w:rsid w:val="00176184"/>
    <w:rsid w:val="00186ECA"/>
    <w:rsid w:val="00194774"/>
    <w:rsid w:val="001A73F2"/>
    <w:rsid w:val="001D7CF8"/>
    <w:rsid w:val="001E2E51"/>
    <w:rsid w:val="002354B6"/>
    <w:rsid w:val="002511F8"/>
    <w:rsid w:val="0025263A"/>
    <w:rsid w:val="002810AE"/>
    <w:rsid w:val="00285532"/>
    <w:rsid w:val="0029166E"/>
    <w:rsid w:val="0029597E"/>
    <w:rsid w:val="002E1AEA"/>
    <w:rsid w:val="003045B9"/>
    <w:rsid w:val="00334C7C"/>
    <w:rsid w:val="00371966"/>
    <w:rsid w:val="003842DE"/>
    <w:rsid w:val="00395EC5"/>
    <w:rsid w:val="00395F54"/>
    <w:rsid w:val="003B0C15"/>
    <w:rsid w:val="003B2F33"/>
    <w:rsid w:val="003C25EF"/>
    <w:rsid w:val="003F3577"/>
    <w:rsid w:val="003F57CD"/>
    <w:rsid w:val="00446DEF"/>
    <w:rsid w:val="00451136"/>
    <w:rsid w:val="00456288"/>
    <w:rsid w:val="00467872"/>
    <w:rsid w:val="0047164A"/>
    <w:rsid w:val="00474275"/>
    <w:rsid w:val="00484C15"/>
    <w:rsid w:val="004939A3"/>
    <w:rsid w:val="00497FF5"/>
    <w:rsid w:val="004C0E7F"/>
    <w:rsid w:val="004C3046"/>
    <w:rsid w:val="004D5141"/>
    <w:rsid w:val="004F1607"/>
    <w:rsid w:val="004F2F2C"/>
    <w:rsid w:val="0050244D"/>
    <w:rsid w:val="00530409"/>
    <w:rsid w:val="0055090E"/>
    <w:rsid w:val="005520A5"/>
    <w:rsid w:val="005537BC"/>
    <w:rsid w:val="00555961"/>
    <w:rsid w:val="00574EA1"/>
    <w:rsid w:val="00575261"/>
    <w:rsid w:val="005764EA"/>
    <w:rsid w:val="00585D3A"/>
    <w:rsid w:val="00592166"/>
    <w:rsid w:val="005B7658"/>
    <w:rsid w:val="005C52FB"/>
    <w:rsid w:val="006124DB"/>
    <w:rsid w:val="0063075E"/>
    <w:rsid w:val="00647F8F"/>
    <w:rsid w:val="00670912"/>
    <w:rsid w:val="006851EF"/>
    <w:rsid w:val="00693599"/>
    <w:rsid w:val="006B6452"/>
    <w:rsid w:val="006C093D"/>
    <w:rsid w:val="006C2B21"/>
    <w:rsid w:val="006C3814"/>
    <w:rsid w:val="006E2B0D"/>
    <w:rsid w:val="00745060"/>
    <w:rsid w:val="007478CC"/>
    <w:rsid w:val="007B15B3"/>
    <w:rsid w:val="007D32AF"/>
    <w:rsid w:val="007E6E5E"/>
    <w:rsid w:val="00813715"/>
    <w:rsid w:val="008152DF"/>
    <w:rsid w:val="008239E4"/>
    <w:rsid w:val="00833946"/>
    <w:rsid w:val="00833BC4"/>
    <w:rsid w:val="00837E04"/>
    <w:rsid w:val="00841A35"/>
    <w:rsid w:val="00845F9E"/>
    <w:rsid w:val="00854E8A"/>
    <w:rsid w:val="0085688E"/>
    <w:rsid w:val="0087513D"/>
    <w:rsid w:val="00884608"/>
    <w:rsid w:val="008910BF"/>
    <w:rsid w:val="00891655"/>
    <w:rsid w:val="00895850"/>
    <w:rsid w:val="008A1C35"/>
    <w:rsid w:val="008B32C9"/>
    <w:rsid w:val="008B32ED"/>
    <w:rsid w:val="008B61BD"/>
    <w:rsid w:val="008C6B8C"/>
    <w:rsid w:val="008C7094"/>
    <w:rsid w:val="008D20D0"/>
    <w:rsid w:val="008E7E91"/>
    <w:rsid w:val="00920781"/>
    <w:rsid w:val="009374EC"/>
    <w:rsid w:val="009508AD"/>
    <w:rsid w:val="00981B9A"/>
    <w:rsid w:val="009E177B"/>
    <w:rsid w:val="009E2198"/>
    <w:rsid w:val="009F191F"/>
    <w:rsid w:val="00A04142"/>
    <w:rsid w:val="00A24DAB"/>
    <w:rsid w:val="00A376C3"/>
    <w:rsid w:val="00A82052"/>
    <w:rsid w:val="00A866A1"/>
    <w:rsid w:val="00A97D9B"/>
    <w:rsid w:val="00AA5FDC"/>
    <w:rsid w:val="00AC5B56"/>
    <w:rsid w:val="00AC7E58"/>
    <w:rsid w:val="00AE34EA"/>
    <w:rsid w:val="00AF17E3"/>
    <w:rsid w:val="00B01DA2"/>
    <w:rsid w:val="00B03E38"/>
    <w:rsid w:val="00B13941"/>
    <w:rsid w:val="00B222DE"/>
    <w:rsid w:val="00B400A3"/>
    <w:rsid w:val="00B504D6"/>
    <w:rsid w:val="00B70783"/>
    <w:rsid w:val="00B93E5D"/>
    <w:rsid w:val="00BA51E1"/>
    <w:rsid w:val="00BB1548"/>
    <w:rsid w:val="00BC01F1"/>
    <w:rsid w:val="00BE5579"/>
    <w:rsid w:val="00BF2EF3"/>
    <w:rsid w:val="00C13683"/>
    <w:rsid w:val="00C61FEC"/>
    <w:rsid w:val="00C702DC"/>
    <w:rsid w:val="00C70702"/>
    <w:rsid w:val="00C72077"/>
    <w:rsid w:val="00C7582A"/>
    <w:rsid w:val="00C81DE9"/>
    <w:rsid w:val="00CA6F28"/>
    <w:rsid w:val="00CD0E0A"/>
    <w:rsid w:val="00CE4AD7"/>
    <w:rsid w:val="00D01573"/>
    <w:rsid w:val="00D254B8"/>
    <w:rsid w:val="00D32FF6"/>
    <w:rsid w:val="00D4173D"/>
    <w:rsid w:val="00D937F8"/>
    <w:rsid w:val="00DA1C8F"/>
    <w:rsid w:val="00DB4090"/>
    <w:rsid w:val="00DC34F1"/>
    <w:rsid w:val="00DC520F"/>
    <w:rsid w:val="00DF5B2C"/>
    <w:rsid w:val="00E24D9A"/>
    <w:rsid w:val="00E84170"/>
    <w:rsid w:val="00EB0482"/>
    <w:rsid w:val="00EB08B7"/>
    <w:rsid w:val="00EC7176"/>
    <w:rsid w:val="00EF2B72"/>
    <w:rsid w:val="00F012F6"/>
    <w:rsid w:val="00F1274A"/>
    <w:rsid w:val="00F25F1A"/>
    <w:rsid w:val="00F45658"/>
    <w:rsid w:val="00F5781A"/>
    <w:rsid w:val="00F60BDE"/>
    <w:rsid w:val="00F63784"/>
    <w:rsid w:val="00F921D6"/>
    <w:rsid w:val="00F96E9B"/>
    <w:rsid w:val="00FA2572"/>
    <w:rsid w:val="00FA30B8"/>
    <w:rsid w:val="00FC2958"/>
    <w:rsid w:val="00FC392E"/>
    <w:rsid w:val="00FD41CF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DFE06"/>
  <w15:docId w15:val="{4DA7C069-E81E-4C99-9451-919BE130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46"/>
    <w:pPr>
      <w:spacing w:after="0" w:line="240" w:lineRule="auto"/>
    </w:pPr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NoSpacingChar">
    <w:name w:val="No Spacing Char"/>
    <w:link w:val="NoSpacing"/>
    <w:uiPriority w:val="1"/>
    <w:rsid w:val="0083394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aliases w:val="Bulet colorat,List Paragraph11,List Paragraph1,Paragraph,Normal bullet 2,Forth level,body 2,Listă colorată - Accentuare 11,Citation List,ANNEX,bullet,bu,bullet1,B,b1,Bullet 1,bullet 1,body,b Char Char Char,b Char Char,List_Paragraph"/>
    <w:basedOn w:val="Normal"/>
    <w:link w:val="ListParagraphChar"/>
    <w:uiPriority w:val="34"/>
    <w:qFormat/>
    <w:rsid w:val="009508A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et colorat Char,List Paragraph11 Char,List Paragraph1 Char,Paragraph Char,Normal bullet 2 Char,Forth level Char,body 2 Char,Listă colorată - Accentuare 11 Char,Citation List Char,ANNEX Char,bullet Char,bu Char,bullet1 Char,B Char"/>
    <w:link w:val="ListParagraph"/>
    <w:uiPriority w:val="34"/>
    <w:qFormat/>
    <w:locked/>
    <w:rsid w:val="009508AD"/>
    <w:rPr>
      <w:noProof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4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B8"/>
    <w:rPr>
      <w:rFonts w:ascii="Lucida Grande" w:hAnsi="Lucida Grande" w:cs="Lucida Grande"/>
      <w:noProof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A6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F28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A6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F28"/>
    <w:rPr>
      <w:noProof/>
      <w:lang w:val="ro-RO"/>
    </w:rPr>
  </w:style>
  <w:style w:type="table" w:styleId="TableGrid">
    <w:name w:val="Table Grid"/>
    <w:basedOn w:val="TableNormal"/>
    <w:uiPriority w:val="39"/>
    <w:rsid w:val="00F127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Georgeta Golovca</cp:lastModifiedBy>
  <cp:revision>11</cp:revision>
  <cp:lastPrinted>2025-04-08T06:49:00Z</cp:lastPrinted>
  <dcterms:created xsi:type="dcterms:W3CDTF">2022-10-27T06:51:00Z</dcterms:created>
  <dcterms:modified xsi:type="dcterms:W3CDTF">2025-04-08T06:49:00Z</dcterms:modified>
</cp:coreProperties>
</file>