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DF7" w:rsidRPr="00EF5656" w:rsidRDefault="00EF5656" w:rsidP="00EF5656">
      <w:pPr>
        <w:spacing w:after="0" w:line="240" w:lineRule="auto"/>
        <w:jc w:val="right"/>
        <w:rPr>
          <w:rFonts w:ascii="Times New Roman" w:hAnsi="Times New Roman" w:cs="Times New Roman"/>
          <w:b/>
          <w:sz w:val="24"/>
          <w:szCs w:val="24"/>
        </w:rPr>
      </w:pPr>
      <w:r w:rsidRPr="00EF5656">
        <w:rPr>
          <w:rFonts w:ascii="Times New Roman" w:hAnsi="Times New Roman" w:cs="Times New Roman"/>
          <w:b/>
          <w:sz w:val="24"/>
          <w:szCs w:val="24"/>
        </w:rPr>
        <w:t>Anexa nr. 1</w:t>
      </w:r>
    </w:p>
    <w:p w:rsidR="00EF5656" w:rsidRDefault="00EF5656" w:rsidP="00EF5656">
      <w:pPr>
        <w:spacing w:after="0" w:line="240" w:lineRule="auto"/>
        <w:jc w:val="right"/>
        <w:rPr>
          <w:rFonts w:ascii="Times New Roman" w:hAnsi="Times New Roman" w:cs="Times New Roman"/>
          <w:b/>
          <w:sz w:val="24"/>
          <w:szCs w:val="24"/>
        </w:rPr>
      </w:pPr>
      <w:r w:rsidRPr="00EF5656">
        <w:rPr>
          <w:rFonts w:ascii="Times New Roman" w:hAnsi="Times New Roman" w:cs="Times New Roman"/>
          <w:b/>
          <w:sz w:val="24"/>
          <w:szCs w:val="24"/>
        </w:rPr>
        <w:t>(Anexa nr. 1 la Ordonanța Guvernului nr. 7/2012)</w:t>
      </w:r>
    </w:p>
    <w:p w:rsidR="00EF5656" w:rsidRDefault="00EF5656" w:rsidP="00EF5656">
      <w:pPr>
        <w:spacing w:after="0" w:line="240" w:lineRule="auto"/>
        <w:jc w:val="right"/>
        <w:rPr>
          <w:rFonts w:ascii="Times New Roman" w:hAnsi="Times New Roman" w:cs="Times New Roman"/>
          <w:b/>
          <w:sz w:val="24"/>
          <w:szCs w:val="24"/>
        </w:rPr>
      </w:pPr>
    </w:p>
    <w:p w:rsidR="00EF5656" w:rsidRDefault="00EF5656" w:rsidP="00EF5656">
      <w:pPr>
        <w:spacing w:after="0" w:line="240" w:lineRule="auto"/>
        <w:jc w:val="right"/>
        <w:rPr>
          <w:rFonts w:ascii="Times New Roman" w:hAnsi="Times New Roman" w:cs="Times New Roman"/>
          <w:b/>
          <w:sz w:val="24"/>
          <w:szCs w:val="24"/>
        </w:rPr>
      </w:pPr>
    </w:p>
    <w:p w:rsidR="00EF5656" w:rsidRDefault="00EF5656" w:rsidP="00EF5656">
      <w:pPr>
        <w:spacing w:after="0" w:line="240" w:lineRule="auto"/>
        <w:jc w:val="right"/>
        <w:rPr>
          <w:rFonts w:ascii="Times New Roman" w:hAnsi="Times New Roman" w:cs="Times New Roman"/>
          <w:b/>
          <w:sz w:val="24"/>
          <w:szCs w:val="24"/>
        </w:rPr>
      </w:pPr>
    </w:p>
    <w:p w:rsidR="000B2CD4" w:rsidRPr="00BC1D86" w:rsidRDefault="000B2CD4" w:rsidP="000B2CD4">
      <w:pPr>
        <w:shd w:val="clear" w:color="auto" w:fill="FFFFFF"/>
        <w:spacing w:before="240" w:after="120" w:line="240" w:lineRule="auto"/>
        <w:jc w:val="center"/>
        <w:rPr>
          <w:rFonts w:ascii="Times New Roman" w:eastAsia="Times New Roman" w:hAnsi="Times New Roman" w:cs="Times New Roman"/>
          <w:b/>
          <w:bCs/>
          <w:i/>
          <w:iCs/>
          <w:color w:val="000000"/>
          <w:sz w:val="24"/>
          <w:szCs w:val="24"/>
          <w:lang w:eastAsia="ro-RO"/>
        </w:rPr>
      </w:pPr>
      <w:r w:rsidRPr="00BC1D86">
        <w:rPr>
          <w:rFonts w:ascii="Times New Roman" w:eastAsia="Times New Roman" w:hAnsi="Times New Roman" w:cs="Times New Roman"/>
          <w:b/>
          <w:bCs/>
          <w:i/>
          <w:iCs/>
          <w:color w:val="000000"/>
          <w:sz w:val="24"/>
          <w:szCs w:val="24"/>
          <w:lang w:eastAsia="ro-RO"/>
        </w:rPr>
        <w:t>DOMENII PRIORITARE</w:t>
      </w:r>
    </w:p>
    <w:p w:rsidR="000B2CD4" w:rsidRPr="00BC1D86" w:rsidRDefault="000B2CD4" w:rsidP="000B2CD4">
      <w:pPr>
        <w:shd w:val="clear" w:color="auto" w:fill="FFFFFF"/>
        <w:spacing w:before="240" w:after="120" w:line="240" w:lineRule="auto"/>
        <w:jc w:val="both"/>
        <w:rPr>
          <w:rFonts w:ascii="Times New Roman" w:eastAsia="Times New Roman" w:hAnsi="Times New Roman" w:cs="Times New Roman"/>
          <w:b/>
          <w:bCs/>
          <w:color w:val="000000"/>
          <w:sz w:val="24"/>
          <w:szCs w:val="24"/>
          <w:lang w:eastAsia="ro-RO"/>
        </w:rPr>
      </w:pPr>
      <w:r w:rsidRPr="00BC1D86">
        <w:rPr>
          <w:rFonts w:ascii="Times New Roman" w:eastAsia="Times New Roman" w:hAnsi="Times New Roman" w:cs="Times New Roman"/>
          <w:b/>
          <w:bCs/>
          <w:color w:val="000000"/>
          <w:sz w:val="24"/>
          <w:szCs w:val="24"/>
          <w:lang w:eastAsia="ro-RO"/>
        </w:rPr>
        <w:t>1.   Domeniul prioritar I: Servicii STI de informare și de mobilitate</w:t>
      </w:r>
    </w:p>
    <w:p w:rsidR="000B2CD4" w:rsidRPr="00BC1D86" w:rsidRDefault="000B2CD4" w:rsidP="000B2CD4">
      <w:pPr>
        <w:shd w:val="clear" w:color="auto" w:fill="FFFFFF"/>
        <w:spacing w:before="120" w:after="0" w:line="240" w:lineRule="auto"/>
        <w:jc w:val="both"/>
        <w:rPr>
          <w:rFonts w:ascii="Times New Roman" w:eastAsia="Times New Roman" w:hAnsi="Times New Roman" w:cs="Times New Roman"/>
          <w:color w:val="000000"/>
          <w:sz w:val="24"/>
          <w:szCs w:val="24"/>
          <w:lang w:eastAsia="ro-RO"/>
        </w:rPr>
      </w:pPr>
      <w:r w:rsidRPr="00BC1D86">
        <w:rPr>
          <w:rFonts w:ascii="Times New Roman" w:eastAsia="Times New Roman" w:hAnsi="Times New Roman" w:cs="Times New Roman"/>
          <w:color w:val="000000"/>
          <w:sz w:val="24"/>
          <w:szCs w:val="24"/>
          <w:lang w:eastAsia="ro-RO"/>
        </w:rPr>
        <w:t>Specificațiile și standardele pentru serviciile STI de informare și de mobilitate pentru pasageri includ următoarele:</w:t>
      </w: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Specificațiile pentru serviciile de mobilitate digitale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 xml:space="preserve"> la nivelul UE (inclusiv serviciile de informare cu privire la călătoriile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 xml:space="preserve"> la nivelul UE)</w:t>
            </w:r>
          </w:p>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Definirea cerințelor necesare pentru a pune la dispoziția utilizatorilor de STI, la nivel transfrontalier, servicii de mobilitate digitale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 xml:space="preserve"> la nivelul UE corecte și servicii similare corecte care oferă informații, posibilitatea rezervării sau funcții de achiziționare pentru mai mulți operatori de transport în cadrul aceluiași mod de transport, pe baza:</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1.1.1.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disponibilității și accesibilității, pentru furnizorii de servicii STI, a datelor existente și corecte privind traficul și călătoriile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 xml:space="preserve">, utilizate pentru serviciile de mobilitate digitale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 fără a aduce atingere siguranței și constrângerilor de gestionare a transportului;</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1.1.2.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facilitării schimbului electronic transfrontalier de date între autoritățile publice competente, părțile interesate și furnizorii de servicii STI implicați, în special prin intermediul unor interfețe standardizate;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1.1.3.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actualizării în timp util de către autoritățile publice competente și părțile interesate a datelor disponibile privind traficul și călătoriile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 xml:space="preserve">, utilizate pentru serviciile de mobilitate digitale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1.1.4.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actualizării în timp util de către furnizorii de servicii STI a informațiilor privind călătoriile </w:t>
                  </w:r>
                  <w:proofErr w:type="spellStart"/>
                  <w:r w:rsidRPr="00BC1D86">
                    <w:rPr>
                      <w:rFonts w:ascii="Times New Roman" w:eastAsia="Times New Roman" w:hAnsi="Times New Roman" w:cs="Times New Roman"/>
                      <w:sz w:val="24"/>
                      <w:szCs w:val="24"/>
                      <w:lang w:eastAsia="ro-RO"/>
                    </w:rPr>
                    <w:t>multimo</w:t>
                  </w:r>
                  <w:bookmarkStart w:id="0" w:name="_GoBack"/>
                  <w:bookmarkEnd w:id="0"/>
                  <w:r w:rsidRPr="00BC1D86">
                    <w:rPr>
                      <w:rFonts w:ascii="Times New Roman" w:eastAsia="Times New Roman" w:hAnsi="Times New Roman" w:cs="Times New Roman"/>
                      <w:sz w:val="24"/>
                      <w:szCs w:val="24"/>
                      <w:lang w:eastAsia="ro-RO"/>
                    </w:rPr>
                    <w:t>dale</w:t>
                  </w:r>
                  <w:proofErr w:type="spellEnd"/>
                  <w:r w:rsidRPr="00BC1D86">
                    <w:rPr>
                      <w:rFonts w:ascii="Times New Roman" w:eastAsia="Times New Roman" w:hAnsi="Times New Roman" w:cs="Times New Roman"/>
                      <w:sz w:val="24"/>
                      <w:szCs w:val="24"/>
                      <w:lang w:eastAsia="ro-RO"/>
                    </w:rPr>
                    <w:t>, inclusiv a informațiilor referitoare la rezervarea și achiziționarea, după caz, a serviciilor de transport.</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Specificațiile pentru serviciile de informare în materie de trafic rutier și de navigație la nivelul UE (inclusiv servicii de informare în timp real privind traficul la nivelul UE)</w:t>
            </w:r>
          </w:p>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cerințelor necesare pentru punerea la dispoziția utilizatorilor de STI, la nivel transfrontalier, a unor servicii corecte de informare în materie de trafic rutier și de navigație la nivelul UE, pe baza:</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1.2.1.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disponibilității și accesibilității datelor rutiere și a datelor privind traficul existente și corecte, inclusiv ale datelor în timp real, utilizate în scopul furnizării de informații privind traficul în timp real furnizorilor de servicii STI și altor părți interesate relevante și al includerii în hărțile digitale, fără a aduce atingere siguranței și constrângerilor legate de gestionarea transportului;</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lastRenderedPageBreak/>
                    <w:t>1.2.2.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facilitării schimbului electronic transfrontalier de date între autoritățile publice competente, părțile interesate și furnizorii de servicii STI implicați, inclusiv a feedback-ului privind calitatea datelor;</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1.2.3.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actualizării în timp util de către autoritățile publice competente și părțile interesate a datelor rutiere și a datelor privind traficul disponibile, utilizate pentru informarea în timp real cu privire la trafic;</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1.2.4.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actualizării în timp util de către furnizorii de servicii STI a informațiilor în timp real cu privire la trafic furnizate utilizatorilor rutieri și altor părți interesate relevante.</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Specificațiile pentru serviciile de mobilitate digitale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 xml:space="preserve"> la nivelul UE și serviciile de informare în materie de trafic rutier și de navigație la nivelul UE</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cerințelor necesare pentru colectarea de către autoritățile publice competente și/sau, dacă este cazul, de către sectorul privat a datelor rutiere și a datelor privind traficul (de exemplu, hărți de circulație rutieră, reglementări rutiere și rute recomandate, în special pentru vehiculele grele pentru transportul de mărfuri) și pentru comunicarea acestora către furnizorii de servicii STI, pe baza:</w:t>
                  </w:r>
                </w:p>
                <w:tbl>
                  <w:tblPr>
                    <w:tblW w:w="5000" w:type="pct"/>
                    <w:tblCellMar>
                      <w:left w:w="0" w:type="dxa"/>
                      <w:right w:w="0" w:type="dxa"/>
                    </w:tblCellMar>
                    <w:tblLook w:val="04A0" w:firstRow="1" w:lastRow="0" w:firstColumn="1" w:lastColumn="0" w:noHBand="0" w:noVBand="1"/>
                  </w:tblPr>
                  <w:tblGrid>
                    <w:gridCol w:w="720"/>
                    <w:gridCol w:w="774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1.3.1.1.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disponibilității și accesibilității, pentru furnizorii de servicii STI, a datelor rutiere și a datelor privind traficul existente (de exemplu, hărți de circulație rutieră, reglementări rutiere și rute recomandate), colectate de autoritățile publice competente și/sau de sectorul privat;</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720"/>
                    <w:gridCol w:w="774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1.3.1.2.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facilitării schimbului electronic de date între autoritățile publice competente și furnizorii de servicii STI și alte părți interesate relevante;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720"/>
                    <w:gridCol w:w="774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1.3.1.3.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actualizării în timp util, de autoritățile publice competente și/sau, dacă este cazul, de sectorul privat, a datelor rutiere și a datelor privind traficul (de exemplu, hărți de circulație rutieră, reglementări rutiere și rute recomandate);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720"/>
                    <w:gridCol w:w="774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1.3.1.4.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actualizării în timp util de către furnizorii de servicii STI a serviciilor și aplicațiilor STI care utilizează aceste date rutiere și aceste date privind traficul.</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Definirea cerințelor necesare pentru ca datele rutiere, datele privind traficul și datele relevante privind călătoriile și infrastructura </w:t>
                  </w:r>
                  <w:proofErr w:type="spellStart"/>
                  <w:r w:rsidRPr="00BC1D86">
                    <w:rPr>
                      <w:rFonts w:ascii="Times New Roman" w:eastAsia="Times New Roman" w:hAnsi="Times New Roman" w:cs="Times New Roman"/>
                      <w:sz w:val="24"/>
                      <w:szCs w:val="24"/>
                      <w:lang w:eastAsia="ro-RO"/>
                    </w:rPr>
                    <w:t>multimodală</w:t>
                  </w:r>
                  <w:proofErr w:type="spellEnd"/>
                  <w:r w:rsidRPr="00BC1D86">
                    <w:rPr>
                      <w:rFonts w:ascii="Times New Roman" w:eastAsia="Times New Roman" w:hAnsi="Times New Roman" w:cs="Times New Roman"/>
                      <w:sz w:val="24"/>
                      <w:szCs w:val="24"/>
                      <w:lang w:eastAsia="ro-RO"/>
                    </w:rPr>
                    <w:t>, utilizate pentru hărțile digitale, să fie corecte și accesibile, dacă este posibil, producătorilor de hărți digitale și furnizorilor de servicii conexe, pe baza:</w:t>
                  </w:r>
                </w:p>
                <w:tbl>
                  <w:tblPr>
                    <w:tblW w:w="5000" w:type="pct"/>
                    <w:tblCellMar>
                      <w:left w:w="0" w:type="dxa"/>
                      <w:right w:w="0" w:type="dxa"/>
                    </w:tblCellMar>
                    <w:tblLook w:val="04A0" w:firstRow="1" w:lastRow="0" w:firstColumn="1" w:lastColumn="0" w:noHBand="0" w:noVBand="1"/>
                  </w:tblPr>
                  <w:tblGrid>
                    <w:gridCol w:w="720"/>
                    <w:gridCol w:w="774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1.3.2.1.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disponibilității și accesibilității, pentru producătorii de hărți digitale și furnizorii de servicii conexe, a datelor rutiere, a datelor privind traficul și a datelor relevante privind călătoriile și infrastructura </w:t>
                        </w:r>
                        <w:proofErr w:type="spellStart"/>
                        <w:r w:rsidRPr="00BC1D86">
                          <w:rPr>
                            <w:rFonts w:ascii="Times New Roman" w:eastAsia="Times New Roman" w:hAnsi="Times New Roman" w:cs="Times New Roman"/>
                            <w:sz w:val="24"/>
                            <w:szCs w:val="24"/>
                            <w:lang w:eastAsia="ro-RO"/>
                          </w:rPr>
                          <w:t>multimodală</w:t>
                        </w:r>
                        <w:proofErr w:type="spellEnd"/>
                        <w:r w:rsidRPr="00BC1D86">
                          <w:rPr>
                            <w:rFonts w:ascii="Times New Roman" w:eastAsia="Times New Roman" w:hAnsi="Times New Roman" w:cs="Times New Roman"/>
                            <w:sz w:val="24"/>
                            <w:szCs w:val="24"/>
                            <w:lang w:eastAsia="ro-RO"/>
                          </w:rPr>
                          <w:t xml:space="preserve"> existente, inclusiv a nodurilor de acces identificate, utilizate pentru hărțile digitale;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720"/>
                    <w:gridCol w:w="774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1.3.2.2.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facilitării schimbului electronic de date între autoritățile publice competente și părțile interesate, și producătorii privați de hărți digitale și furnizorii privați de servicii conexe;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720"/>
                    <w:gridCol w:w="774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1.3.2.3.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actualizării în timp util de către autoritățile publice competente și părțile interesate a datelor rutiere și a datelor privind traficul utilizate pentru hărțile digitale;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720"/>
                    <w:gridCol w:w="774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lastRenderedPageBreak/>
                          <w:t>1.3.2.4.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actualizării în timp util a hărților digitale de către producătorii de hărți digitale și furnizorii de servicii conexe.</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before="240" w:after="120" w:line="240" w:lineRule="auto"/>
        <w:jc w:val="both"/>
        <w:rPr>
          <w:rFonts w:ascii="Times New Roman" w:eastAsia="Times New Roman" w:hAnsi="Times New Roman" w:cs="Times New Roman"/>
          <w:b/>
          <w:bCs/>
          <w:color w:val="000000"/>
          <w:sz w:val="24"/>
          <w:szCs w:val="24"/>
          <w:lang w:eastAsia="ro-RO"/>
        </w:rPr>
      </w:pPr>
      <w:r w:rsidRPr="00BC1D86">
        <w:rPr>
          <w:rFonts w:ascii="Times New Roman" w:eastAsia="Times New Roman" w:hAnsi="Times New Roman" w:cs="Times New Roman"/>
          <w:b/>
          <w:bCs/>
          <w:color w:val="000000"/>
          <w:sz w:val="24"/>
          <w:szCs w:val="24"/>
          <w:lang w:eastAsia="ro-RO"/>
        </w:rPr>
        <w:lastRenderedPageBreak/>
        <w:t>2.   Domeniul prioritar II: Servicii STI de gestionare a călătoriilor, a transportului și a traficului</w:t>
      </w:r>
    </w:p>
    <w:p w:rsidR="000B2CD4" w:rsidRPr="00BC1D86" w:rsidRDefault="000B2CD4" w:rsidP="000B2CD4">
      <w:pPr>
        <w:shd w:val="clear" w:color="auto" w:fill="FFFFFF"/>
        <w:spacing w:before="120" w:after="0" w:line="240" w:lineRule="auto"/>
        <w:jc w:val="both"/>
        <w:rPr>
          <w:rFonts w:ascii="Times New Roman" w:eastAsia="Times New Roman" w:hAnsi="Times New Roman" w:cs="Times New Roman"/>
          <w:color w:val="000000"/>
          <w:sz w:val="24"/>
          <w:szCs w:val="24"/>
          <w:lang w:eastAsia="ro-RO"/>
        </w:rPr>
      </w:pPr>
      <w:r w:rsidRPr="00BC1D86">
        <w:rPr>
          <w:rFonts w:ascii="Times New Roman" w:eastAsia="Times New Roman" w:hAnsi="Times New Roman" w:cs="Times New Roman"/>
          <w:color w:val="000000"/>
          <w:sz w:val="24"/>
          <w:szCs w:val="24"/>
          <w:lang w:eastAsia="ro-RO"/>
        </w:rPr>
        <w:t>Specificațiile și standardele pentru serviciile STI de gestionare a călătoriilor, a transportului și a traficului includ următoarele:</w:t>
      </w: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Specificațiile pentru serviciile extinse de gestionare a traficului și a incidentelor</w:t>
            </w:r>
          </w:p>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cerințelor necesare pentru sprijinirea și armonizarea serviciilor extinse de gestionare a traficului și a incidentelor, pe baza:</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2.1.1.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disponibilității și accesibilității datelor rutiere și a datelor privind traficul existente și corecte, precum și a datelor existente și corecte privind accidentele și incidentele necesare pentru serviciile de gestionare a traficului și incidentelor;</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2.1.2.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facilitării schimbului electronic transfrontalier de date, inclusiv de date privind mărfurile relevante pentru gestionarea traficului și a incidentelor (de exemplu, transportul mărfurilor periculoase, restricțiile de acces legate de mărfuri, transporturile agabaritice), între centrele de gestionare a traficului, centrele de informare cu privire la trafic, părțile interesate și furnizorii de servicii STI implicați, în special prin intermediul unor interfețe standardizate;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2.1.3.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actualizării în timp util de către părțile interesate relevante a datelor rutiere și a datelor privind traficul disponibile, precum și a datelor disponibile privind accidentele și incidentele necesare pentru serviciile extinse de gestionare a traficului și incidentelor;</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2.1.4.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disponibilității și accesibilității datelor și a </w:t>
                  </w:r>
                  <w:proofErr w:type="spellStart"/>
                  <w:r w:rsidRPr="00BC1D86">
                    <w:rPr>
                      <w:rFonts w:ascii="Times New Roman" w:eastAsia="Times New Roman" w:hAnsi="Times New Roman" w:cs="Times New Roman"/>
                      <w:sz w:val="24"/>
                      <w:szCs w:val="24"/>
                      <w:lang w:eastAsia="ro-RO"/>
                    </w:rPr>
                    <w:t>sinergiilor</w:t>
                  </w:r>
                  <w:proofErr w:type="spellEnd"/>
                  <w:r w:rsidRPr="00BC1D86">
                    <w:rPr>
                      <w:rFonts w:ascii="Times New Roman" w:eastAsia="Times New Roman" w:hAnsi="Times New Roman" w:cs="Times New Roman"/>
                      <w:sz w:val="24"/>
                      <w:szCs w:val="24"/>
                      <w:lang w:eastAsia="ro-RO"/>
                    </w:rPr>
                    <w:t xml:space="preserve"> cu alte inițiative care vizează sprijinirea </w:t>
                  </w:r>
                  <w:proofErr w:type="spellStart"/>
                  <w:r w:rsidRPr="00BC1D86">
                    <w:rPr>
                      <w:rFonts w:ascii="Times New Roman" w:eastAsia="Times New Roman" w:hAnsi="Times New Roman" w:cs="Times New Roman"/>
                      <w:sz w:val="24"/>
                      <w:szCs w:val="24"/>
                      <w:lang w:eastAsia="ro-RO"/>
                    </w:rPr>
                    <w:t>multimodalității</w:t>
                  </w:r>
                  <w:proofErr w:type="spellEnd"/>
                  <w:r w:rsidRPr="00BC1D86">
                    <w:rPr>
                      <w:rFonts w:ascii="Times New Roman" w:eastAsia="Times New Roman" w:hAnsi="Times New Roman" w:cs="Times New Roman"/>
                      <w:sz w:val="24"/>
                      <w:szCs w:val="24"/>
                      <w:lang w:eastAsia="ro-RO"/>
                    </w:rPr>
                    <w:t>, integrarea modurilor de transport și facilitarea transferului modal în cadrul rețelei europene de transport către modurile de transport cele mai durabile, prin armonizarea și facilitarea schimbului de date</w:t>
                  </w:r>
                  <w:hyperlink r:id="rId6" w:anchor="ntr*1-L_202302661RO.001802-E0001" w:history="1">
                    <w:r w:rsidRPr="00BC1D86">
                      <w:rPr>
                        <w:rFonts w:ascii="Times New Roman" w:eastAsia="Times New Roman" w:hAnsi="Times New Roman" w:cs="Times New Roman"/>
                        <w:color w:val="337AB7"/>
                        <w:sz w:val="24"/>
                        <w:szCs w:val="24"/>
                        <w:u w:val="single"/>
                        <w:lang w:eastAsia="ro-RO"/>
                      </w:rPr>
                      <w:t> (</w:t>
                    </w:r>
                    <w:r w:rsidRPr="00BC1D86">
                      <w:rPr>
                        <w:rFonts w:ascii="Times New Roman" w:eastAsia="Times New Roman" w:hAnsi="Times New Roman" w:cs="Times New Roman"/>
                        <w:color w:val="337AB7"/>
                        <w:sz w:val="24"/>
                        <w:szCs w:val="24"/>
                        <w:vertAlign w:val="superscript"/>
                        <w:lang w:eastAsia="ro-RO"/>
                      </w:rPr>
                      <w:t>*1</w:t>
                    </w:r>
                    <w:r w:rsidRPr="00BC1D86">
                      <w:rPr>
                        <w:rFonts w:ascii="Times New Roman" w:eastAsia="Times New Roman" w:hAnsi="Times New Roman" w:cs="Times New Roman"/>
                        <w:color w:val="337AB7"/>
                        <w:sz w:val="24"/>
                        <w:szCs w:val="24"/>
                        <w:u w:val="single"/>
                        <w:lang w:eastAsia="ro-RO"/>
                      </w:rPr>
                      <w:t>)</w:t>
                    </w:r>
                  </w:hyperlink>
                  <w:r w:rsidRPr="00BC1D86">
                    <w:rPr>
                      <w:rFonts w:ascii="Times New Roman" w:eastAsia="Times New Roman" w:hAnsi="Times New Roman" w:cs="Times New Roman"/>
                      <w:sz w:val="24"/>
                      <w:szCs w:val="24"/>
                      <w:lang w:eastAsia="ro-RO"/>
                    </w:rPr>
                    <w:t>.</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Specificațiile pentru serviciile de gestionare a mobilității</w:t>
            </w:r>
          </w:p>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cerințelor necesare pentru sprijinirea dezvoltării unor servicii corecte de gestionare a mobilității de către autoritățile de transport public, pe baza:</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2.2.1.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disponibilității și accesibilității, într-un format standardizat, pentru autoritățile publice competente, a datelor rutiere și a datelor cu privire la trafic și la călătoriile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 xml:space="preserve"> existente și corecte, necesare pentru gestionarea mobilității, fără a aduce atingere cerințelor de protecție a datelor;</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2.2.2.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facilitării schimbului electronic transfrontalier de date între autoritățile publice competente, părțile interesate și furnizorii de servicii STI implicați;</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2.2.3.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actualizării în timp util de către autoritățile publice competente și părțile interesate a datelor rutiere și a datelor cu privire la trafic și la călătoriile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 xml:space="preserve"> disponibile, necesare pentru gestionarea mobilității.</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Cadrul UE pentru arhitectura STI</w:t>
            </w:r>
          </w:p>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lastRenderedPageBreak/>
              <w:t xml:space="preserve">Definirea măsurilor necesare pentru a elabora o arhitectură-cadru a UE pentru STI, care să abordeze aspectele specifice legate de STI privind interoperabilitatea, continuitatea serviciilor și </w:t>
            </w:r>
            <w:proofErr w:type="spellStart"/>
            <w:r w:rsidRPr="00BC1D86">
              <w:rPr>
                <w:rFonts w:ascii="Times New Roman" w:eastAsia="Times New Roman" w:hAnsi="Times New Roman" w:cs="Times New Roman"/>
                <w:sz w:val="24"/>
                <w:szCs w:val="24"/>
                <w:lang w:eastAsia="ro-RO"/>
              </w:rPr>
              <w:t>multimodalitatea</w:t>
            </w:r>
            <w:proofErr w:type="spellEnd"/>
            <w:r w:rsidRPr="00BC1D86">
              <w:rPr>
                <w:rFonts w:ascii="Times New Roman" w:eastAsia="Times New Roman" w:hAnsi="Times New Roman" w:cs="Times New Roman"/>
                <w:sz w:val="24"/>
                <w:szCs w:val="24"/>
                <w:lang w:eastAsia="ro-RO"/>
              </w:rPr>
              <w:t>, în cadrul căreia statele membre și autoritățile lor competente, în colaborare cu sectorul privat, să își poată elabora propria arhitectură STI pentru mobilitate la nivel național, regional sau local.</w:t>
            </w: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Aplicațiile STI și logistica transportului de mărfuri</w:t>
            </w:r>
          </w:p>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cerințelor necesare sprijinirii realizării aplicațiilor STI pentru logistica transportului de mărfuri, în special pentru localizarea și urmărirea mărfurilor și pentru alte servicii de vizibilitate în timpul transportului și de la un mod de transport la altul, pe baza:</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2.4.1.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disponibilității, pentru dezvoltatorii de aplicații STI, a tehnologiilor STI pertinente și a utilizării lor de către aceștia;</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2.4.2.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disponibilității datelor privind încărcătura, accesibile prin intermediul altor cadre specifice de partajare a datelor</w:t>
                  </w:r>
                  <w:hyperlink r:id="rId7" w:anchor="ntr*2-L_202302661RO.001802-E0002" w:history="1">
                    <w:r w:rsidRPr="00BC1D86">
                      <w:rPr>
                        <w:rFonts w:ascii="Times New Roman" w:eastAsia="Times New Roman" w:hAnsi="Times New Roman" w:cs="Times New Roman"/>
                        <w:color w:val="337AB7"/>
                        <w:sz w:val="24"/>
                        <w:szCs w:val="24"/>
                        <w:u w:val="single"/>
                        <w:lang w:eastAsia="ro-RO"/>
                      </w:rPr>
                      <w:t> (</w:t>
                    </w:r>
                    <w:r w:rsidRPr="00BC1D86">
                      <w:rPr>
                        <w:rFonts w:ascii="Times New Roman" w:eastAsia="Times New Roman" w:hAnsi="Times New Roman" w:cs="Times New Roman"/>
                        <w:color w:val="337AB7"/>
                        <w:sz w:val="24"/>
                        <w:szCs w:val="24"/>
                        <w:vertAlign w:val="superscript"/>
                        <w:lang w:eastAsia="ro-RO"/>
                      </w:rPr>
                      <w:t>*2</w:t>
                    </w:r>
                    <w:r w:rsidRPr="00BC1D86">
                      <w:rPr>
                        <w:rFonts w:ascii="Times New Roman" w:eastAsia="Times New Roman" w:hAnsi="Times New Roman" w:cs="Times New Roman"/>
                        <w:color w:val="337AB7"/>
                        <w:sz w:val="24"/>
                        <w:szCs w:val="24"/>
                        <w:u w:val="single"/>
                        <w:lang w:eastAsia="ro-RO"/>
                      </w:rPr>
                      <w:t>)</w:t>
                    </w:r>
                  </w:hyperlink>
                  <w:r w:rsidRPr="00BC1D86">
                    <w:rPr>
                      <w:rFonts w:ascii="Times New Roman" w:eastAsia="Times New Roman" w:hAnsi="Times New Roman" w:cs="Times New Roman"/>
                      <w:sz w:val="24"/>
                      <w:szCs w:val="24"/>
                      <w:lang w:eastAsia="ro-RO"/>
                    </w:rPr>
                    <w:t>;</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7"/>
              <w:gridCol w:w="8453"/>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2.4.3.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integrării rezultatelor poziționării în instrumentele și centrele de gestionare a traficului.</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before="240" w:after="120" w:line="240" w:lineRule="auto"/>
        <w:jc w:val="both"/>
        <w:rPr>
          <w:rFonts w:ascii="Times New Roman" w:eastAsia="Times New Roman" w:hAnsi="Times New Roman" w:cs="Times New Roman"/>
          <w:b/>
          <w:bCs/>
          <w:color w:val="000000"/>
          <w:sz w:val="24"/>
          <w:szCs w:val="24"/>
          <w:lang w:eastAsia="ro-RO"/>
        </w:rPr>
      </w:pPr>
      <w:r w:rsidRPr="00BC1D86">
        <w:rPr>
          <w:rFonts w:ascii="Times New Roman" w:eastAsia="Times New Roman" w:hAnsi="Times New Roman" w:cs="Times New Roman"/>
          <w:b/>
          <w:bCs/>
          <w:color w:val="000000"/>
          <w:sz w:val="24"/>
          <w:szCs w:val="24"/>
          <w:lang w:eastAsia="ro-RO"/>
        </w:rPr>
        <w:t>3.   Domeniul prioritar III: Servicii STI pentru siguranța și securitatea rutieră</w:t>
      </w:r>
    </w:p>
    <w:p w:rsidR="000B2CD4" w:rsidRPr="00BC1D86" w:rsidRDefault="000B2CD4" w:rsidP="000B2CD4">
      <w:pPr>
        <w:shd w:val="clear" w:color="auto" w:fill="FFFFFF"/>
        <w:spacing w:before="120" w:after="0" w:line="240" w:lineRule="auto"/>
        <w:jc w:val="both"/>
        <w:rPr>
          <w:rFonts w:ascii="Times New Roman" w:eastAsia="Times New Roman" w:hAnsi="Times New Roman" w:cs="Times New Roman"/>
          <w:color w:val="000000"/>
          <w:sz w:val="24"/>
          <w:szCs w:val="24"/>
          <w:lang w:eastAsia="ro-RO"/>
        </w:rPr>
      </w:pPr>
      <w:r w:rsidRPr="00BC1D86">
        <w:rPr>
          <w:rFonts w:ascii="Times New Roman" w:eastAsia="Times New Roman" w:hAnsi="Times New Roman" w:cs="Times New Roman"/>
          <w:color w:val="000000"/>
          <w:sz w:val="24"/>
          <w:szCs w:val="24"/>
          <w:lang w:eastAsia="ro-RO"/>
        </w:rPr>
        <w:t>Specificațiile și standardele pentru serviciile STI pentru siguranța și securitatea rutieră includ următoarele:</w:t>
      </w: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Specificațiile pentru sistemul </w:t>
            </w:r>
            <w:proofErr w:type="spellStart"/>
            <w:r w:rsidRPr="00BC1D86">
              <w:rPr>
                <w:rFonts w:ascii="Times New Roman" w:eastAsia="Times New Roman" w:hAnsi="Times New Roman" w:cs="Times New Roman"/>
                <w:sz w:val="24"/>
                <w:szCs w:val="24"/>
                <w:lang w:eastAsia="ro-RO"/>
              </w:rPr>
              <w:t>eCall</w:t>
            </w:r>
            <w:proofErr w:type="spellEnd"/>
            <w:r w:rsidRPr="00BC1D86">
              <w:rPr>
                <w:rFonts w:ascii="Times New Roman" w:eastAsia="Times New Roman" w:hAnsi="Times New Roman" w:cs="Times New Roman"/>
                <w:sz w:val="24"/>
                <w:szCs w:val="24"/>
                <w:lang w:eastAsia="ro-RO"/>
              </w:rPr>
              <w:t xml:space="preserve"> interoperabil la nivelul UE</w:t>
            </w:r>
          </w:p>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Definirea măsurilor necesare pentru furnizarea armonizată a unui sistem </w:t>
            </w:r>
            <w:proofErr w:type="spellStart"/>
            <w:r w:rsidRPr="00BC1D86">
              <w:rPr>
                <w:rFonts w:ascii="Times New Roman" w:eastAsia="Times New Roman" w:hAnsi="Times New Roman" w:cs="Times New Roman"/>
                <w:sz w:val="24"/>
                <w:szCs w:val="24"/>
                <w:lang w:eastAsia="ro-RO"/>
              </w:rPr>
              <w:t>eCall</w:t>
            </w:r>
            <w:proofErr w:type="spellEnd"/>
            <w:r w:rsidRPr="00BC1D86">
              <w:rPr>
                <w:rFonts w:ascii="Times New Roman" w:eastAsia="Times New Roman" w:hAnsi="Times New Roman" w:cs="Times New Roman"/>
                <w:sz w:val="24"/>
                <w:szCs w:val="24"/>
                <w:lang w:eastAsia="ro-RO"/>
              </w:rPr>
              <w:t xml:space="preserve"> interoperabil la nivelul UE, incluzând:</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3.1.1.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disponibilitatea datelor STI necesare aflate la bord care trebuie să facă obiectul schimbului de informații;</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3.1.2.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disponibilitatea în centrele de preluare a apelurilor de urgență a echipamentelor necesare pentru recepționarea datelor transmise din vehicule;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3.1.3.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facilitarea schimbului electronic de date între vehicule și centrele de preluare a apelurilor de urgență, inclusiv posibila interacțiune cu datele care intră în domeniul de aplicare al Regulamentului (UE) 2020/1056 și cu e-CMR</w:t>
                  </w:r>
                  <w:hyperlink r:id="rId8" w:anchor="ntr*3-L_202302661RO.001802-E0003" w:history="1">
                    <w:r w:rsidRPr="00BC1D86">
                      <w:rPr>
                        <w:rFonts w:ascii="Times New Roman" w:eastAsia="Times New Roman" w:hAnsi="Times New Roman" w:cs="Times New Roman"/>
                        <w:color w:val="337AB7"/>
                        <w:sz w:val="24"/>
                        <w:szCs w:val="24"/>
                        <w:u w:val="single"/>
                        <w:lang w:eastAsia="ro-RO"/>
                      </w:rPr>
                      <w:t> (</w:t>
                    </w:r>
                    <w:r w:rsidRPr="00BC1D86">
                      <w:rPr>
                        <w:rFonts w:ascii="Times New Roman" w:eastAsia="Times New Roman" w:hAnsi="Times New Roman" w:cs="Times New Roman"/>
                        <w:color w:val="337AB7"/>
                        <w:sz w:val="24"/>
                        <w:szCs w:val="24"/>
                        <w:vertAlign w:val="superscript"/>
                        <w:lang w:eastAsia="ro-RO"/>
                      </w:rPr>
                      <w:t>*3</w:t>
                    </w:r>
                    <w:r w:rsidRPr="00BC1D86">
                      <w:rPr>
                        <w:rFonts w:ascii="Times New Roman" w:eastAsia="Times New Roman" w:hAnsi="Times New Roman" w:cs="Times New Roman"/>
                        <w:color w:val="337AB7"/>
                        <w:sz w:val="24"/>
                        <w:szCs w:val="24"/>
                        <w:u w:val="single"/>
                        <w:lang w:eastAsia="ro-RO"/>
                      </w:rPr>
                      <w:t>)</w:t>
                    </w:r>
                  </w:hyperlink>
                  <w:r w:rsidRPr="00BC1D86">
                    <w:rPr>
                      <w:rFonts w:ascii="Times New Roman" w:eastAsia="Times New Roman" w:hAnsi="Times New Roman" w:cs="Times New Roman"/>
                      <w:sz w:val="24"/>
                      <w:szCs w:val="24"/>
                      <w:lang w:eastAsia="ro-RO"/>
                    </w:rPr>
                    <w:t>, de exemplu, în cazul mărfurilor periculoase.</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Specificațiile pentru serviciile de informare și rezervare referitoare la spații de parcare sigure și securizate pentru camioane și vehicule comerciale</w:t>
            </w:r>
          </w:p>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măsurilor necesare pentru asigurarea unor servicii de informare și, atunci când sunt disponibile, de rezervare pe baza STI referitoare la spații de parcare sigure și securizate pentru camioane și vehicule comerciale, în special în zonele de servicii și de repaus de-a lungul drumurilor, pe baza:</w:t>
            </w:r>
          </w:p>
          <w:tbl>
            <w:tblPr>
              <w:tblW w:w="5000" w:type="pct"/>
              <w:tblCellMar>
                <w:left w:w="0" w:type="dxa"/>
                <w:right w:w="0" w:type="dxa"/>
              </w:tblCellMar>
              <w:tblLook w:val="04A0" w:firstRow="1" w:lastRow="0" w:firstColumn="1" w:lastColumn="0" w:noHBand="0" w:noVBand="1"/>
            </w:tblPr>
            <w:tblGrid>
              <w:gridCol w:w="717"/>
              <w:gridCol w:w="8283"/>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3.2.1.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disponibilității pentru utilizatori a informațiilor privind parcările;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3.2.2.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facilitării schimbului electronic de date între zonele și spațiile de parcare, centre și vehicule;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lastRenderedPageBreak/>
                    <w:t>3.2.3.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integrării tehnologiilor STI pertinente atât în vehicule, cât și în zonele de parcare, pentru actualizarea informațiilor privind locurile de parcare disponibile în scopul rezervării.</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Specificațiile pentru informațiile minime universale în materie de trafic legate de siguranța rutieră</w:t>
            </w:r>
          </w:p>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cerințelor minime privind „informațiile universale în materie de trafic” legate de siguranța rutieră, furnizate, dacă este posibil, gratuit pentru toți utilizatorii, precum și privind conținutul minim al acestora, pe baza:</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3.3.1.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disponibilității și accesibilității unor date corecte referitoare la evenimente și condiții legate de siguranță, necesare pentru serviciile de informare în materie de trafic legate de siguranța rutieră și serviciile de gestionare a incidentelor;</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3.3.2.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implementării sau utilizării mijloacelor de detectare sau de identificare a evenimentelor și condițiilor legate de siguranță;</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3.3.3.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elaborării și utilizării unei liste standardizate de evenimente legate de siguranța rutieră („mesaje universale privind traficul”) care să fie comunicate gratuit utilizatorilor de STI;</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3.3.4.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 xml:space="preserve">compatibilității „mesajelor universale privind traficul” și a integrării acestora în serviciile STI în scopul informării în timp real cu privire la trafic și la călătoriile </w:t>
                  </w:r>
                  <w:proofErr w:type="spellStart"/>
                  <w:r w:rsidRPr="00BC1D86">
                    <w:rPr>
                      <w:rFonts w:ascii="Times New Roman" w:eastAsia="Times New Roman" w:hAnsi="Times New Roman" w:cs="Times New Roman"/>
                      <w:sz w:val="24"/>
                      <w:szCs w:val="24"/>
                      <w:lang w:eastAsia="ro-RO"/>
                    </w:rPr>
                    <w:t>multimodale</w:t>
                  </w:r>
                  <w:proofErr w:type="spellEnd"/>
                  <w:r w:rsidRPr="00BC1D86">
                    <w:rPr>
                      <w:rFonts w:ascii="Times New Roman" w:eastAsia="Times New Roman" w:hAnsi="Times New Roman" w:cs="Times New Roman"/>
                      <w:sz w:val="24"/>
                      <w:szCs w:val="24"/>
                      <w:lang w:eastAsia="ro-RO"/>
                    </w:rPr>
                    <w:t>.</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Specificațiile pentru alte acțiuni</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3.4.1.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măsurilor necesare pentru sprijinirea siguranței participanților la trafic în ceea ce privește interfața om-mașină de la bordul vehiculelor acestora și utilizarea dispozitivelor nomade, inclusiv a telefoanelor mobile, în sprijinul conducerii vehiculului și/sau al operațiunii de transport, precum și a securității mijloacelor de comunicare instalate la bord care nu intră în domeniile de aplicare ale Regulamentelor (UE) nr. 167/2013</w:t>
                  </w:r>
                  <w:hyperlink r:id="rId9" w:anchor="ntr*4-L_202302661RO.001802-E0004" w:history="1">
                    <w:r w:rsidRPr="00BC1D86">
                      <w:rPr>
                        <w:rFonts w:ascii="Times New Roman" w:eastAsia="Times New Roman" w:hAnsi="Times New Roman" w:cs="Times New Roman"/>
                        <w:color w:val="337AB7"/>
                        <w:sz w:val="24"/>
                        <w:szCs w:val="24"/>
                        <w:u w:val="single"/>
                        <w:lang w:eastAsia="ro-RO"/>
                      </w:rPr>
                      <w:t> (</w:t>
                    </w:r>
                    <w:r w:rsidRPr="00BC1D86">
                      <w:rPr>
                        <w:rFonts w:ascii="Times New Roman" w:eastAsia="Times New Roman" w:hAnsi="Times New Roman" w:cs="Times New Roman"/>
                        <w:color w:val="337AB7"/>
                        <w:sz w:val="24"/>
                        <w:szCs w:val="24"/>
                        <w:vertAlign w:val="superscript"/>
                        <w:lang w:eastAsia="ro-RO"/>
                      </w:rPr>
                      <w:t>*4</w:t>
                    </w:r>
                    <w:r w:rsidRPr="00BC1D86">
                      <w:rPr>
                        <w:rFonts w:ascii="Times New Roman" w:eastAsia="Times New Roman" w:hAnsi="Times New Roman" w:cs="Times New Roman"/>
                        <w:color w:val="337AB7"/>
                        <w:sz w:val="24"/>
                        <w:szCs w:val="24"/>
                        <w:u w:val="single"/>
                        <w:lang w:eastAsia="ro-RO"/>
                      </w:rPr>
                      <w:t>)</w:t>
                    </w:r>
                  </w:hyperlink>
                  <w:r w:rsidRPr="00BC1D86">
                    <w:rPr>
                      <w:rFonts w:ascii="Times New Roman" w:eastAsia="Times New Roman" w:hAnsi="Times New Roman" w:cs="Times New Roman"/>
                      <w:sz w:val="24"/>
                      <w:szCs w:val="24"/>
                      <w:lang w:eastAsia="ro-RO"/>
                    </w:rPr>
                    <w:t>, (UE) nr. 168/2013</w:t>
                  </w:r>
                  <w:hyperlink r:id="rId10" w:anchor="ntr*5-L_202302661RO.001802-E0005" w:history="1">
                    <w:r w:rsidRPr="00BC1D86">
                      <w:rPr>
                        <w:rFonts w:ascii="Times New Roman" w:eastAsia="Times New Roman" w:hAnsi="Times New Roman" w:cs="Times New Roman"/>
                        <w:color w:val="337AB7"/>
                        <w:sz w:val="24"/>
                        <w:szCs w:val="24"/>
                        <w:u w:val="single"/>
                        <w:lang w:eastAsia="ro-RO"/>
                      </w:rPr>
                      <w:t> (</w:t>
                    </w:r>
                    <w:r w:rsidRPr="00BC1D86">
                      <w:rPr>
                        <w:rFonts w:ascii="Times New Roman" w:eastAsia="Times New Roman" w:hAnsi="Times New Roman" w:cs="Times New Roman"/>
                        <w:color w:val="337AB7"/>
                        <w:sz w:val="24"/>
                        <w:szCs w:val="24"/>
                        <w:vertAlign w:val="superscript"/>
                        <w:lang w:eastAsia="ro-RO"/>
                      </w:rPr>
                      <w:t>*5</w:t>
                    </w:r>
                    <w:r w:rsidRPr="00BC1D86">
                      <w:rPr>
                        <w:rFonts w:ascii="Times New Roman" w:eastAsia="Times New Roman" w:hAnsi="Times New Roman" w:cs="Times New Roman"/>
                        <w:color w:val="337AB7"/>
                        <w:sz w:val="24"/>
                        <w:szCs w:val="24"/>
                        <w:u w:val="single"/>
                        <w:lang w:eastAsia="ro-RO"/>
                      </w:rPr>
                      <w:t>)</w:t>
                    </w:r>
                  </w:hyperlink>
                  <w:r w:rsidRPr="00BC1D86">
                    <w:rPr>
                      <w:rFonts w:ascii="Times New Roman" w:eastAsia="Times New Roman" w:hAnsi="Times New Roman" w:cs="Times New Roman"/>
                      <w:sz w:val="24"/>
                      <w:szCs w:val="24"/>
                      <w:lang w:eastAsia="ro-RO"/>
                    </w:rPr>
                    <w:t> și (UE) 2018/858</w:t>
                  </w:r>
                  <w:hyperlink r:id="rId11" w:anchor="ntr*6-L_202302661RO.001802-E0006" w:history="1">
                    <w:r w:rsidRPr="00BC1D86">
                      <w:rPr>
                        <w:rFonts w:ascii="Times New Roman" w:eastAsia="Times New Roman" w:hAnsi="Times New Roman" w:cs="Times New Roman"/>
                        <w:color w:val="337AB7"/>
                        <w:sz w:val="24"/>
                        <w:szCs w:val="24"/>
                        <w:u w:val="single"/>
                        <w:lang w:eastAsia="ro-RO"/>
                      </w:rPr>
                      <w:t> (</w:t>
                    </w:r>
                    <w:r w:rsidRPr="00BC1D86">
                      <w:rPr>
                        <w:rFonts w:ascii="Times New Roman" w:eastAsia="Times New Roman" w:hAnsi="Times New Roman" w:cs="Times New Roman"/>
                        <w:color w:val="337AB7"/>
                        <w:sz w:val="24"/>
                        <w:szCs w:val="24"/>
                        <w:vertAlign w:val="superscript"/>
                        <w:lang w:eastAsia="ro-RO"/>
                      </w:rPr>
                      <w:t>*6</w:t>
                    </w:r>
                    <w:r w:rsidRPr="00BC1D86">
                      <w:rPr>
                        <w:rFonts w:ascii="Times New Roman" w:eastAsia="Times New Roman" w:hAnsi="Times New Roman" w:cs="Times New Roman"/>
                        <w:color w:val="337AB7"/>
                        <w:sz w:val="24"/>
                        <w:szCs w:val="24"/>
                        <w:u w:val="single"/>
                        <w:lang w:eastAsia="ro-RO"/>
                      </w:rPr>
                      <w:t>)</w:t>
                    </w:r>
                  </w:hyperlink>
                  <w:r w:rsidRPr="00BC1D86">
                    <w:rPr>
                      <w:rFonts w:ascii="Times New Roman" w:eastAsia="Times New Roman" w:hAnsi="Times New Roman" w:cs="Times New Roman"/>
                      <w:sz w:val="24"/>
                      <w:szCs w:val="24"/>
                      <w:lang w:eastAsia="ro-RO"/>
                    </w:rPr>
                    <w:t> ale Parlamentului European și ale Consiliului.</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3.4.2.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măsurilor necesare pentru îmbunătățirea siguranței și a confortului participanților la trafic vulnerabili pentru toate aplicațiile STI relevante care nu intră în domeniile de aplicare ale Regulamentelor (UE) nr. 167/2013, (UE) nr. 168/2013 și (UE) 2018/858.</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3.4.3.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măsurilor necesare pentru integrarea în vehicule și în infrastructura rutieră a sistemelor electronice avansate de asistență pentru conducătorul auto care nu intră în domeniile de aplicare ale Regulamentelor (UE) nr. 167/2013, (UE) nr. 168/2013 și (UE) 2018/858.</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3.4.4.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măsurilor necesare pentru facilitarea schimbului de informații între furnizorii de servicii de aplicații STI de securitate, cum ar fi cele care oferă sprijin pentru recuperarea vehiculelor sau a bunurilor furate, și autoritățile publice competente, ținând seama în mod corespunzător de alte cadre existente și emergente care vizează facilitarea schimbului de date în materie de mobilitate și transport, care nu intră în domeniile de aplicare ale Regulamentelor (UE) nr. 167/2013, (UE) nr. 168/2013 și (UE) 2018/858.</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before="240" w:after="120" w:line="240" w:lineRule="auto"/>
        <w:jc w:val="both"/>
        <w:rPr>
          <w:rFonts w:ascii="Times New Roman" w:eastAsia="Times New Roman" w:hAnsi="Times New Roman" w:cs="Times New Roman"/>
          <w:b/>
          <w:bCs/>
          <w:color w:val="000000"/>
          <w:sz w:val="24"/>
          <w:szCs w:val="24"/>
          <w:lang w:eastAsia="ro-RO"/>
        </w:rPr>
      </w:pPr>
      <w:r w:rsidRPr="00BC1D86">
        <w:rPr>
          <w:rFonts w:ascii="Times New Roman" w:eastAsia="Times New Roman" w:hAnsi="Times New Roman" w:cs="Times New Roman"/>
          <w:b/>
          <w:bCs/>
          <w:color w:val="000000"/>
          <w:sz w:val="24"/>
          <w:szCs w:val="24"/>
          <w:lang w:eastAsia="ro-RO"/>
        </w:rPr>
        <w:t>4.   Domeniul prioritar IV: Servicii STI de mobilitate cooperativă, conectată și automatizată</w:t>
      </w:r>
    </w:p>
    <w:p w:rsidR="000B2CD4" w:rsidRPr="00BC1D86" w:rsidRDefault="000B2CD4" w:rsidP="000B2CD4">
      <w:pPr>
        <w:shd w:val="clear" w:color="auto" w:fill="FFFFFF"/>
        <w:spacing w:before="120" w:after="0" w:line="240" w:lineRule="auto"/>
        <w:jc w:val="both"/>
        <w:rPr>
          <w:rFonts w:ascii="Times New Roman" w:eastAsia="Times New Roman" w:hAnsi="Times New Roman" w:cs="Times New Roman"/>
          <w:color w:val="000000"/>
          <w:sz w:val="24"/>
          <w:szCs w:val="24"/>
          <w:lang w:eastAsia="ro-RO"/>
        </w:rPr>
      </w:pPr>
      <w:r w:rsidRPr="00BC1D86">
        <w:rPr>
          <w:rFonts w:ascii="Times New Roman" w:eastAsia="Times New Roman" w:hAnsi="Times New Roman" w:cs="Times New Roman"/>
          <w:color w:val="000000"/>
          <w:sz w:val="24"/>
          <w:szCs w:val="24"/>
          <w:lang w:eastAsia="ro-RO"/>
        </w:rPr>
        <w:lastRenderedPageBreak/>
        <w:t>Specificațiile și standardele pentru conectarea vehiculelor cu infrastructura de transport, pentru sensibilizarea publicului și pentru facilitarea serviciilor de mobilitate cu un nivel înalt de automatizare includ următoarele, fără a aduce atingere specificațiilor și standardelor prevăzute în Regulamentele (UE) nr. 167/2013, (UE) nr. 168/2013 și (UE) 2018/858:</w:t>
      </w: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Definirea măsurilor necesare pentru continuarea dezvoltării și a implementării de sisteme de transport inteligente cooperative (vehicul-vehicul, vehicul-infrastructură, infrastructură-infrastructură), în special pentru a sprijini CCAM, pe baza:</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4.1.1.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facilitării schimbului de date sau de informații între vehicule, între infrastructuri și între vehicule și infrastructuri, precum și între alți utilizatori ai drumurilor și vehicule și infrastructuri;</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4.1.2.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disponibilității pentru părțile implicate, vehicul sau infrastructură rutieră, a datelor sau a informațiilor pertinente care urmează să fie schimbate;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4.1.3.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utilizării unui format de mesaj standardizat pentru schimbul de date sau de informații între vehicul și infrastructură;</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4.1.4.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definirii unei infrastructuri de comunicare precisă și fiabilă pentru schimbul de date sau de informații între vehicule, între infrastructuri și între vehicule și infrastructuri;</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99"/>
              <w:gridCol w:w="8401"/>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4.1.5.</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utilizării proceselor de standardizare pentru adoptarea arhitecturilor respective.</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Specificațiile pentru servicii</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4.2.1.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servicii de informații și de avertizare STI-C bazate pe date privind starea, care sporesc gradul de conștientizare al utilizatorilor mijloacelor de transport cu privire la viitoarele situații din trafic;</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4.2.2.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servicii de informații și de avertizare STI-C bazate pe observații, care sporesc suplimentar gradul de conștientizare al utilizatorilor mijloacelor de transport cu privire la viitoarele situații din trafic, inclusiv al utilizatorilor mijloacelor de transport care nu sunt conectați;</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4.2.3.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servicii STI-C bazate pe intenții, care permit vehiculelor să facă față unor scenarii de trafic complexe și permit conducerea cu un nivel înalt de automatizare;</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637"/>
              <w:gridCol w:w="8363"/>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4.2.4.</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servicii de infrastructură STI-C pentru a sprijini conducerea automatizată.</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0B2CD4" w:rsidRPr="00BC1D86" w:rsidRDefault="000B2CD4" w:rsidP="000B2CD4">
      <w:pPr>
        <w:shd w:val="clear" w:color="auto" w:fill="FFFFFF"/>
        <w:spacing w:after="0" w:line="240" w:lineRule="auto"/>
        <w:rPr>
          <w:rFonts w:ascii="Times New Roman" w:eastAsia="Times New Roman" w:hAnsi="Times New Roman" w:cs="Times New Roman"/>
          <w:vanish/>
          <w:color w:val="000000"/>
          <w:sz w:val="24"/>
          <w:szCs w:val="24"/>
          <w:lang w:eastAsia="ro-RO"/>
        </w:rPr>
      </w:pPr>
    </w:p>
    <w:tbl>
      <w:tblPr>
        <w:tblW w:w="5000" w:type="pct"/>
        <w:tblCellMar>
          <w:left w:w="0" w:type="dxa"/>
          <w:right w:w="0" w:type="dxa"/>
        </w:tblCellMar>
        <w:tblLook w:val="04A0" w:firstRow="1" w:lastRow="0" w:firstColumn="1" w:lastColumn="0" w:noHBand="0" w:noVBand="1"/>
      </w:tblPr>
      <w:tblGrid>
        <w:gridCol w:w="360"/>
        <w:gridCol w:w="900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Specificațiile pentru sistemul UE de gestionare a acreditărilor de securitate pentru STI-C</w:t>
            </w: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4.3.1.</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politica de certificare pentru gestionarea certificatelor de cheie publică pentru serviciile STI-C;</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40"/>
              <w:gridCol w:w="8460"/>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4.3.2.</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stabilirea rolului de autoritate responsabilă cu politica de certificare a STI-C, de manager al listei de încredere și de punct de contact pentru STI-C;</w:t>
                  </w:r>
                </w:p>
              </w:tc>
            </w:tr>
          </w:tbl>
          <w:p w:rsidR="000B2CD4" w:rsidRPr="00BC1D86" w:rsidRDefault="000B2CD4" w:rsidP="00C008D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firstRow="1" w:lastRow="0" w:firstColumn="1" w:lastColumn="0" w:noHBand="0" w:noVBand="1"/>
            </w:tblPr>
            <w:tblGrid>
              <w:gridCol w:w="588"/>
              <w:gridCol w:w="8412"/>
            </w:tblGrid>
            <w:tr w:rsidR="000B2CD4" w:rsidRPr="00BC1D86" w:rsidTr="00C008D5">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4.3.3.</w:t>
                  </w:r>
                </w:p>
              </w:tc>
              <w:tc>
                <w:tcPr>
                  <w:tcW w:w="0" w:type="auto"/>
                  <w:shd w:val="clear" w:color="auto" w:fill="auto"/>
                  <w:hideMark/>
                </w:tcPr>
                <w:p w:rsidR="000B2CD4" w:rsidRPr="00BC1D86" w:rsidRDefault="000B2CD4" w:rsidP="00C008D5">
                  <w:pPr>
                    <w:spacing w:before="120" w:after="0" w:line="240" w:lineRule="auto"/>
                    <w:jc w:val="both"/>
                    <w:rPr>
                      <w:rFonts w:ascii="Times New Roman" w:eastAsia="Times New Roman" w:hAnsi="Times New Roman" w:cs="Times New Roman"/>
                      <w:sz w:val="24"/>
                      <w:szCs w:val="24"/>
                      <w:lang w:eastAsia="ro-RO"/>
                    </w:rPr>
                  </w:pPr>
                  <w:r w:rsidRPr="00BC1D86">
                    <w:rPr>
                      <w:rFonts w:ascii="Times New Roman" w:eastAsia="Times New Roman" w:hAnsi="Times New Roman" w:cs="Times New Roman"/>
                      <w:sz w:val="24"/>
                      <w:szCs w:val="24"/>
                      <w:lang w:eastAsia="ro-RO"/>
                    </w:rPr>
                    <w:t>politica de securitate pentru gestionarea securității informațiilor în cadrul STI-C.</w:t>
                  </w:r>
                </w:p>
              </w:tc>
            </w:tr>
          </w:tbl>
          <w:p w:rsidR="000B2CD4" w:rsidRPr="00BC1D86" w:rsidRDefault="000B2CD4" w:rsidP="00C008D5">
            <w:pPr>
              <w:spacing w:after="0" w:line="240" w:lineRule="auto"/>
              <w:rPr>
                <w:rFonts w:ascii="Times New Roman" w:eastAsia="Times New Roman" w:hAnsi="Times New Roman" w:cs="Times New Roman"/>
                <w:sz w:val="24"/>
                <w:szCs w:val="24"/>
                <w:lang w:eastAsia="ro-RO"/>
              </w:rPr>
            </w:pPr>
          </w:p>
        </w:tc>
      </w:tr>
    </w:tbl>
    <w:p w:rsidR="00EF5656" w:rsidRPr="00EF5656" w:rsidRDefault="00EF5656" w:rsidP="000B2CD4">
      <w:pPr>
        <w:spacing w:after="0" w:line="240" w:lineRule="auto"/>
        <w:jc w:val="both"/>
        <w:rPr>
          <w:rFonts w:ascii="Times New Roman" w:hAnsi="Times New Roman" w:cs="Times New Roman"/>
          <w:b/>
          <w:sz w:val="24"/>
          <w:szCs w:val="24"/>
        </w:rPr>
      </w:pPr>
    </w:p>
    <w:sectPr w:rsidR="00EF5656" w:rsidRPr="00EF5656" w:rsidSect="003E0DD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A8D" w:rsidRDefault="007B7A8D" w:rsidP="000B2CD4">
      <w:pPr>
        <w:spacing w:after="0" w:line="240" w:lineRule="auto"/>
      </w:pPr>
      <w:r>
        <w:separator/>
      </w:r>
    </w:p>
  </w:endnote>
  <w:endnote w:type="continuationSeparator" w:id="0">
    <w:p w:rsidR="007B7A8D" w:rsidRDefault="007B7A8D" w:rsidP="000B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958569"/>
      <w:docPartObj>
        <w:docPartGallery w:val="Page Numbers (Bottom of Page)"/>
        <w:docPartUnique/>
      </w:docPartObj>
    </w:sdtPr>
    <w:sdtEndPr>
      <w:rPr>
        <w:rFonts w:ascii="Times New Roman" w:hAnsi="Times New Roman" w:cs="Times New Roman"/>
        <w:noProof/>
        <w:sz w:val="24"/>
        <w:szCs w:val="24"/>
      </w:rPr>
    </w:sdtEndPr>
    <w:sdtContent>
      <w:p w:rsidR="000B2CD4" w:rsidRPr="000B2CD4" w:rsidRDefault="000B2CD4">
        <w:pPr>
          <w:pStyle w:val="Footer"/>
          <w:jc w:val="right"/>
          <w:rPr>
            <w:rFonts w:ascii="Times New Roman" w:hAnsi="Times New Roman" w:cs="Times New Roman"/>
            <w:sz w:val="24"/>
            <w:szCs w:val="24"/>
          </w:rPr>
        </w:pPr>
        <w:r w:rsidRPr="000B2CD4">
          <w:rPr>
            <w:rFonts w:ascii="Times New Roman" w:hAnsi="Times New Roman" w:cs="Times New Roman"/>
            <w:sz w:val="24"/>
            <w:szCs w:val="24"/>
          </w:rPr>
          <w:fldChar w:fldCharType="begin"/>
        </w:r>
        <w:r w:rsidRPr="000B2CD4">
          <w:rPr>
            <w:rFonts w:ascii="Times New Roman" w:hAnsi="Times New Roman" w:cs="Times New Roman"/>
            <w:sz w:val="24"/>
            <w:szCs w:val="24"/>
          </w:rPr>
          <w:instrText xml:space="preserve"> PAGE   \* MERGEFORMAT </w:instrText>
        </w:r>
        <w:r w:rsidRPr="000B2CD4">
          <w:rPr>
            <w:rFonts w:ascii="Times New Roman" w:hAnsi="Times New Roman" w:cs="Times New Roman"/>
            <w:sz w:val="24"/>
            <w:szCs w:val="24"/>
          </w:rPr>
          <w:fldChar w:fldCharType="separate"/>
        </w:r>
        <w:r w:rsidRPr="000B2CD4">
          <w:rPr>
            <w:rFonts w:ascii="Times New Roman" w:hAnsi="Times New Roman" w:cs="Times New Roman"/>
            <w:noProof/>
            <w:sz w:val="24"/>
            <w:szCs w:val="24"/>
          </w:rPr>
          <w:t>2</w:t>
        </w:r>
        <w:r w:rsidRPr="000B2CD4">
          <w:rPr>
            <w:rFonts w:ascii="Times New Roman" w:hAnsi="Times New Roman" w:cs="Times New Roman"/>
            <w:noProof/>
            <w:sz w:val="24"/>
            <w:szCs w:val="24"/>
          </w:rPr>
          <w:fldChar w:fldCharType="end"/>
        </w:r>
      </w:p>
    </w:sdtContent>
  </w:sdt>
  <w:p w:rsidR="000B2CD4" w:rsidRDefault="000B2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A8D" w:rsidRDefault="007B7A8D" w:rsidP="000B2CD4">
      <w:pPr>
        <w:spacing w:after="0" w:line="240" w:lineRule="auto"/>
      </w:pPr>
      <w:r>
        <w:separator/>
      </w:r>
    </w:p>
  </w:footnote>
  <w:footnote w:type="continuationSeparator" w:id="0">
    <w:p w:rsidR="007B7A8D" w:rsidRDefault="007B7A8D" w:rsidP="000B2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32"/>
    <w:rsid w:val="000B2CD4"/>
    <w:rsid w:val="00316F4A"/>
    <w:rsid w:val="003E0DD3"/>
    <w:rsid w:val="0040436C"/>
    <w:rsid w:val="00477232"/>
    <w:rsid w:val="007B7A8D"/>
    <w:rsid w:val="00C72E21"/>
    <w:rsid w:val="00EF5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1844"/>
  <w15:chartTrackingRefBased/>
  <w15:docId w15:val="{FC6C07C8-066B-42F2-AC90-A042A0D2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CD4"/>
  </w:style>
  <w:style w:type="paragraph" w:styleId="Footer">
    <w:name w:val="footer"/>
    <w:basedOn w:val="Normal"/>
    <w:link w:val="FooterChar"/>
    <w:uiPriority w:val="99"/>
    <w:unhideWhenUsed/>
    <w:rsid w:val="000B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HTML/?uri=OJ:L_20230266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lex.europa.eu/legal-content/RO/TXT/HTML/?uri=OJ:L_20230266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RO/TXT/HTML/?uri=OJ:L_202302661" TargetMode="External"/><Relationship Id="rId11" Type="http://schemas.openxmlformats.org/officeDocument/2006/relationships/hyperlink" Target="https://eur-lex.europa.eu/legal-content/RO/TXT/HTML/?uri=OJ:L_202302661" TargetMode="External"/><Relationship Id="rId5" Type="http://schemas.openxmlformats.org/officeDocument/2006/relationships/endnotes" Target="endnotes.xml"/><Relationship Id="rId10" Type="http://schemas.openxmlformats.org/officeDocument/2006/relationships/hyperlink" Target="https://eur-lex.europa.eu/legal-content/RO/TXT/HTML/?uri=OJ:L_202302661" TargetMode="External"/><Relationship Id="rId4" Type="http://schemas.openxmlformats.org/officeDocument/2006/relationships/footnotes" Target="footnotes.xml"/><Relationship Id="rId9" Type="http://schemas.openxmlformats.org/officeDocument/2006/relationships/hyperlink" Target="https://eur-lex.europa.eu/legal-content/RO/TXT/HTML/?uri=OJ:L_2023026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2636</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CNAIR SA</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2024-09-27T09:03:00Z</dcterms:created>
  <dcterms:modified xsi:type="dcterms:W3CDTF">2024-09-27T09:06:00Z</dcterms:modified>
</cp:coreProperties>
</file>