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E13EA" w14:textId="77777777" w:rsidR="0036766D" w:rsidRDefault="00FC73F4" w:rsidP="00DE27AF">
      <w:pPr>
        <w:spacing w:before="0" w:after="0"/>
        <w:ind w:left="-720" w:right="341"/>
        <w:jc w:val="left"/>
        <w:rPr>
          <w:b/>
          <w:i/>
        </w:rPr>
      </w:pPr>
      <w:r w:rsidRPr="00FC73F4">
        <w:rPr>
          <w:b/>
          <w:bCs/>
          <w:iCs/>
        </w:rPr>
        <w:t>DIRECŢIA TRANSPORT RUTIER</w:t>
      </w:r>
      <w:r w:rsidRPr="00FC73F4">
        <w:rPr>
          <w:b/>
          <w:bCs/>
          <w:i/>
          <w:iCs/>
          <w:lang w:val="en-US"/>
        </w:rPr>
        <w:t xml:space="preserve">                                                           </w:t>
      </w:r>
      <w:r w:rsidR="00440F01">
        <w:rPr>
          <w:b/>
          <w:i/>
        </w:rPr>
        <w:t xml:space="preserve">  </w:t>
      </w:r>
      <w:r w:rsidR="00440F01">
        <w:rPr>
          <w:b/>
          <w:i/>
        </w:rPr>
        <w:tab/>
      </w:r>
      <w:r w:rsidR="00440F01">
        <w:rPr>
          <w:b/>
          <w:i/>
        </w:rPr>
        <w:tab/>
      </w:r>
      <w:r w:rsidR="00DE27AF">
        <w:rPr>
          <w:b/>
          <w:i/>
        </w:rPr>
        <w:tab/>
      </w:r>
      <w:r w:rsidR="00DE27AF">
        <w:rPr>
          <w:b/>
          <w:i/>
        </w:rPr>
        <w:tab/>
      </w:r>
      <w:r w:rsidR="00DE27AF">
        <w:rPr>
          <w:b/>
          <w:i/>
        </w:rPr>
        <w:tab/>
      </w:r>
      <w:r w:rsidR="00DE27AF">
        <w:rPr>
          <w:b/>
          <w:i/>
        </w:rPr>
        <w:tab/>
      </w:r>
      <w:r w:rsidR="00440F01">
        <w:rPr>
          <w:b/>
          <w:i/>
        </w:rPr>
        <w:tab/>
      </w:r>
      <w:r w:rsidR="00440F01">
        <w:rPr>
          <w:b/>
          <w:i/>
        </w:rPr>
        <w:tab/>
      </w:r>
      <w:r w:rsidR="00440F01">
        <w:rPr>
          <w:b/>
          <w:i/>
        </w:rPr>
        <w:tab/>
      </w:r>
      <w:r w:rsidR="00440F01">
        <w:rPr>
          <w:b/>
          <w:i/>
        </w:rPr>
        <w:tab/>
      </w:r>
      <w:r w:rsidR="00440F01">
        <w:rPr>
          <w:b/>
          <w:i/>
        </w:rPr>
        <w:tab/>
      </w:r>
      <w:r w:rsidR="00440F01">
        <w:rPr>
          <w:b/>
          <w:i/>
        </w:rPr>
        <w:tab/>
      </w:r>
      <w:r w:rsidR="00440F01">
        <w:rPr>
          <w:b/>
          <w:i/>
        </w:rPr>
        <w:tab/>
      </w:r>
      <w:r w:rsidR="00753BE3">
        <w:rPr>
          <w:b/>
          <w:i/>
        </w:rPr>
        <w:tab/>
      </w:r>
      <w:r w:rsidR="00753BE3">
        <w:rPr>
          <w:b/>
          <w:i/>
        </w:rPr>
        <w:tab/>
      </w:r>
      <w:r w:rsidR="00753BE3">
        <w:rPr>
          <w:b/>
          <w:i/>
        </w:rPr>
        <w:tab/>
      </w:r>
      <w:r w:rsidR="00753BE3">
        <w:rPr>
          <w:b/>
          <w:i/>
        </w:rPr>
        <w:tab/>
      </w:r>
      <w:r w:rsidR="00753BE3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DE27AF">
        <w:rPr>
          <w:b/>
          <w:i/>
        </w:rPr>
        <w:tab/>
        <w:t xml:space="preserve">                                                     </w:t>
      </w:r>
    </w:p>
    <w:p w14:paraId="1CEA5AD1" w14:textId="529C5BDE" w:rsidR="009704D7" w:rsidRPr="006C5ABF" w:rsidRDefault="00DE27AF" w:rsidP="00DE27AF">
      <w:pPr>
        <w:spacing w:before="0" w:after="0"/>
        <w:ind w:left="-720" w:right="341"/>
        <w:jc w:val="left"/>
        <w:rPr>
          <w:b/>
        </w:rPr>
      </w:pPr>
      <w:r>
        <w:rPr>
          <w:b/>
          <w:i/>
        </w:rPr>
        <w:t xml:space="preserve">                                                               </w:t>
      </w:r>
      <w:r w:rsidR="0036766D">
        <w:rPr>
          <w:b/>
          <w:i/>
        </w:rPr>
        <w:tab/>
      </w:r>
      <w:r w:rsidR="0036766D">
        <w:rPr>
          <w:b/>
          <w:i/>
        </w:rPr>
        <w:tab/>
      </w:r>
      <w:r w:rsidR="0036766D">
        <w:rPr>
          <w:b/>
          <w:i/>
        </w:rPr>
        <w:tab/>
      </w:r>
      <w:bookmarkStart w:id="0" w:name="_GoBack"/>
      <w:bookmarkEnd w:id="0"/>
      <w:r w:rsidR="0036766D">
        <w:rPr>
          <w:b/>
          <w:i/>
        </w:rPr>
        <w:tab/>
      </w:r>
      <w:r w:rsidR="0036766D">
        <w:rPr>
          <w:b/>
          <w:i/>
        </w:rPr>
        <w:tab/>
        <w:t xml:space="preserve">        </w:t>
      </w:r>
      <w:r w:rsidRPr="006C5ABF">
        <w:rPr>
          <w:b/>
        </w:rPr>
        <w:t>Nr</w:t>
      </w:r>
      <w:r>
        <w:rPr>
          <w:b/>
        </w:rPr>
        <w:t>………………………</w:t>
      </w:r>
      <w:r>
        <w:rPr>
          <w:b/>
          <w:i/>
        </w:rPr>
        <w:t xml:space="preserve"> </w:t>
      </w:r>
    </w:p>
    <w:p w14:paraId="7BEB6D9A" w14:textId="37119E12" w:rsidR="00FC40EC" w:rsidRDefault="009704D7" w:rsidP="00E90328">
      <w:pPr>
        <w:spacing w:before="0" w:after="0"/>
        <w:ind w:left="-720" w:right="341"/>
        <w:jc w:val="right"/>
        <w:rPr>
          <w:b/>
        </w:rPr>
      </w:pPr>
      <w:r w:rsidRPr="006C5ABF">
        <w:rPr>
          <w:b/>
        </w:rPr>
        <w:t>Data:</w:t>
      </w:r>
      <w:r w:rsidR="00E90328">
        <w:rPr>
          <w:b/>
        </w:rPr>
        <w:t>01</w:t>
      </w:r>
      <w:r w:rsidR="00705D0E">
        <w:rPr>
          <w:b/>
        </w:rPr>
        <w:t>.</w:t>
      </w:r>
      <w:r w:rsidR="00404557">
        <w:rPr>
          <w:b/>
        </w:rPr>
        <w:t>0</w:t>
      </w:r>
      <w:r w:rsidR="00E90328">
        <w:rPr>
          <w:b/>
        </w:rPr>
        <w:t>8</w:t>
      </w:r>
      <w:r w:rsidRPr="006C5ABF">
        <w:rPr>
          <w:b/>
        </w:rPr>
        <w:t>.20</w:t>
      </w:r>
      <w:r w:rsidR="00402E33">
        <w:rPr>
          <w:b/>
        </w:rPr>
        <w:t>24</w:t>
      </w:r>
    </w:p>
    <w:p w14:paraId="2C7FD9C9" w14:textId="78D69311" w:rsidR="00A32162" w:rsidRPr="00A07880" w:rsidRDefault="00263300" w:rsidP="00DE27AF">
      <w:pPr>
        <w:spacing w:before="0" w:after="0"/>
        <w:ind w:left="-720" w:right="341"/>
        <w:jc w:val="right"/>
        <w:rPr>
          <w:b/>
        </w:rPr>
      </w:pPr>
      <w:r w:rsidRPr="00263300">
        <w:rPr>
          <w:b/>
        </w:rPr>
        <w:t xml:space="preserve">  </w:t>
      </w:r>
      <w:r w:rsidR="00866224">
        <w:rPr>
          <w:b/>
        </w:rPr>
        <w:t xml:space="preserve"> </w:t>
      </w:r>
    </w:p>
    <w:p w14:paraId="3751DB73" w14:textId="77777777" w:rsidR="000051C2" w:rsidRDefault="000051C2" w:rsidP="00DE27AF">
      <w:pPr>
        <w:spacing w:before="0" w:after="120"/>
        <w:ind w:left="-720" w:right="341"/>
        <w:jc w:val="center"/>
        <w:rPr>
          <w:rFonts w:eastAsia="MS Mincho" w:cs="Times New Roman"/>
          <w:b/>
          <w:color w:val="auto"/>
          <w:lang w:val="en-US"/>
        </w:rPr>
      </w:pPr>
      <w:r>
        <w:rPr>
          <w:rFonts w:eastAsia="MS Mincho" w:cs="Times New Roman"/>
          <w:b/>
          <w:color w:val="auto"/>
          <w:lang w:val="en-US"/>
        </w:rPr>
        <w:t xml:space="preserve">Referat de aprobare </w:t>
      </w:r>
    </w:p>
    <w:p w14:paraId="17F4FC4D" w14:textId="2CA74D29" w:rsidR="00A32162" w:rsidRDefault="000051C2" w:rsidP="00DE27AF">
      <w:pPr>
        <w:spacing w:before="0"/>
        <w:ind w:left="-720" w:right="341"/>
        <w:jc w:val="center"/>
        <w:rPr>
          <w:rFonts w:eastAsia="MS Mincho" w:cs="Times New Roman"/>
          <w:color w:val="auto"/>
        </w:rPr>
      </w:pPr>
      <w:r>
        <w:rPr>
          <w:rFonts w:eastAsia="MS Mincho" w:cs="Times New Roman"/>
          <w:b/>
          <w:color w:val="auto"/>
          <w:lang w:val="en-US"/>
        </w:rPr>
        <w:t xml:space="preserve">a </w:t>
      </w:r>
      <w:r w:rsidRPr="000051C2">
        <w:rPr>
          <w:rFonts w:eastAsia="MS Mincho" w:cs="Times New Roman"/>
          <w:b/>
          <w:color w:val="auto"/>
          <w:lang w:val="en-US"/>
        </w:rPr>
        <w:t>Ordin</w:t>
      </w:r>
      <w:r>
        <w:rPr>
          <w:rFonts w:eastAsia="MS Mincho" w:cs="Times New Roman"/>
          <w:b/>
          <w:color w:val="auto"/>
          <w:lang w:val="en-US"/>
        </w:rPr>
        <w:t xml:space="preserve">ului </w:t>
      </w:r>
      <w:r w:rsidR="00E90328" w:rsidRPr="00E90328">
        <w:rPr>
          <w:rFonts w:eastAsia="MS Mincho" w:cs="Times New Roman"/>
          <w:b/>
          <w:color w:val="auto"/>
          <w:lang w:val="en-US"/>
        </w:rPr>
        <w:t>ministrului transporturilor și infrastructurii pentru completarea articolului 4 din anexa la Ordinul ministrului transporturilor şi infrastructurii nr. 358/2012 pentru aprobarea Liniilor directoare cu privire la măsurile de îmbunătăţire a siguranţei circulaţiei pe infrastructura rutieră, în vederea aplicării Directivei 2008/96/CE a Parlamentului European şi a Consiliului din 19 noiembrie 2008 privind gestionarea siguranţei infrastructurii</w:t>
      </w:r>
    </w:p>
    <w:p w14:paraId="4B962E06" w14:textId="77777777" w:rsidR="004D3088" w:rsidRDefault="004D3088" w:rsidP="00753BE3">
      <w:pPr>
        <w:spacing w:after="0"/>
        <w:ind w:right="341"/>
        <w:rPr>
          <w:rFonts w:eastAsia="MS Mincho" w:cs="Times New Roman"/>
          <w:color w:val="auto"/>
          <w:lang w:val="en-US"/>
        </w:rPr>
      </w:pPr>
    </w:p>
    <w:p w14:paraId="51197A15" w14:textId="086519FF" w:rsidR="00402E33" w:rsidRPr="00402E33" w:rsidRDefault="00402E33" w:rsidP="00402E33">
      <w:pPr>
        <w:spacing w:before="0" w:after="120"/>
        <w:ind w:left="-720" w:right="341"/>
        <w:rPr>
          <w:rFonts w:eastAsia="MS Mincho" w:cs="Times New Roman"/>
          <w:color w:val="auto"/>
          <w:lang w:val="en-US"/>
        </w:rPr>
      </w:pPr>
      <w:r>
        <w:rPr>
          <w:rFonts w:eastAsia="MS Mincho" w:cs="Times New Roman"/>
          <w:color w:val="auto"/>
          <w:lang w:val="en-US"/>
        </w:rPr>
        <w:t>Î</w:t>
      </w:r>
      <w:r w:rsidRPr="00402E33">
        <w:rPr>
          <w:rFonts w:eastAsia="MS Mincho" w:cs="Times New Roman"/>
          <w:color w:val="auto"/>
          <w:lang w:val="en-US"/>
        </w:rPr>
        <w:t>n legislația specifică</w:t>
      </w:r>
      <w:r>
        <w:rPr>
          <w:rFonts w:eastAsia="MS Mincho" w:cs="Times New Roman"/>
          <w:color w:val="auto"/>
          <w:lang w:val="en-US"/>
        </w:rPr>
        <w:t xml:space="preserve"> a fost reintrodusă definiția</w:t>
      </w:r>
      <w:r w:rsidRPr="00402E33">
        <w:rPr>
          <w:rFonts w:eastAsia="MS Mincho" w:cs="Times New Roman"/>
          <w:color w:val="auto"/>
          <w:lang w:val="en-US"/>
        </w:rPr>
        <w:t xml:space="preserve"> punctului negru, astfel cum a fost prevăzută inițial la art. 3 alin n) din Legea nr. 265/2008 privind gestionarea siguranței circulației pe infrastructura rutieră (ulterior abrogată prin Ordonanţa Guvernului nr.3/2022), respectiv: “punctul negru - segmentul de drum public care prezintă o rată mai mare de accidente rutiere decât rata medie a accidentelor înregistrate pe unitatea de distanță a drumului respectiv şi pe o perioadă de timp istorică, stabilite de Autoritatea Rutieră Română - A.R.R.”</w:t>
      </w:r>
      <w:r>
        <w:rPr>
          <w:rFonts w:eastAsia="MS Mincho" w:cs="Times New Roman"/>
          <w:color w:val="auto"/>
          <w:lang w:val="en-US"/>
        </w:rPr>
        <w:t xml:space="preserve">. </w:t>
      </w:r>
      <w:r w:rsidRPr="00402E33">
        <w:rPr>
          <w:rFonts w:eastAsia="MS Mincho" w:cs="Times New Roman"/>
          <w:color w:val="auto"/>
          <w:lang w:val="en-US"/>
        </w:rPr>
        <w:t>Legea nr. 131/2024 privind aprobarea Ordonanţei Guvernului nr. 3/2022 pentru modificarea şi completarea Legii nr. 265/2008 privind gestionarea siguranţei circulaţiei pe infrastructura rutieră</w:t>
      </w:r>
      <w:r>
        <w:rPr>
          <w:rFonts w:eastAsia="MS Mincho" w:cs="Times New Roman"/>
          <w:color w:val="auto"/>
          <w:lang w:val="en-US"/>
        </w:rPr>
        <w:t xml:space="preserve"> a intrat în vigoare la data de 16 mai 2024.</w:t>
      </w:r>
    </w:p>
    <w:p w14:paraId="5253F4D5" w14:textId="4D57BC10" w:rsidR="00402E33" w:rsidRPr="00402E33" w:rsidRDefault="00402E33" w:rsidP="00402E33">
      <w:pPr>
        <w:spacing w:before="0" w:after="120"/>
        <w:ind w:left="-720" w:right="341"/>
        <w:rPr>
          <w:rFonts w:eastAsia="MS Mincho" w:cs="Times New Roman"/>
          <w:color w:val="auto"/>
          <w:lang w:val="en-US"/>
        </w:rPr>
      </w:pPr>
      <w:r w:rsidRPr="00402E33">
        <w:rPr>
          <w:rFonts w:eastAsia="MS Mincho" w:cs="Times New Roman"/>
          <w:color w:val="auto"/>
          <w:lang w:val="en-US"/>
        </w:rPr>
        <w:t xml:space="preserve">Grupul de lucru pentru infrastructură și </w:t>
      </w:r>
      <w:r>
        <w:rPr>
          <w:rFonts w:eastAsia="MS Mincho" w:cs="Times New Roman"/>
          <w:color w:val="auto"/>
          <w:lang w:val="en-US"/>
        </w:rPr>
        <w:t xml:space="preserve">semnalizare rutieră din cadrul </w:t>
      </w:r>
      <w:r w:rsidRPr="00402E33">
        <w:rPr>
          <w:rFonts w:eastAsia="MS Mincho" w:cs="Times New Roman"/>
          <w:color w:val="auto"/>
          <w:lang w:val="en-US"/>
        </w:rPr>
        <w:t>Delegaţiei Permanente Interministeriale Pentru Siguranţă Rutieră</w:t>
      </w:r>
      <w:r>
        <w:rPr>
          <w:rFonts w:eastAsia="MS Mincho" w:cs="Times New Roman"/>
          <w:color w:val="auto"/>
          <w:lang w:val="en-US"/>
        </w:rPr>
        <w:t xml:space="preserve"> a recomandat i</w:t>
      </w:r>
      <w:r w:rsidRPr="00402E33">
        <w:rPr>
          <w:rFonts w:eastAsia="MS Mincho" w:cs="Times New Roman"/>
          <w:color w:val="auto"/>
          <w:lang w:val="en-US"/>
        </w:rPr>
        <w:t xml:space="preserve">ntroducerea unei definiții complementare a punctului negru în legislația secundară (OMTI nr. 358/2012) pentru clarificarea aspectelor </w:t>
      </w:r>
      <w:r>
        <w:rPr>
          <w:rFonts w:eastAsia="MS Mincho" w:cs="Times New Roman"/>
          <w:color w:val="auto"/>
          <w:lang w:val="en-US"/>
        </w:rPr>
        <w:t>referitoare la</w:t>
      </w:r>
      <w:r w:rsidRPr="00402E33">
        <w:rPr>
          <w:rFonts w:eastAsia="MS Mincho" w:cs="Times New Roman"/>
          <w:color w:val="auto"/>
          <w:lang w:val="en-US"/>
        </w:rPr>
        <w:t xml:space="preserve"> perioada istorică și unitatea de distanța, respectiv: „stabilirea punctelor negre se va face utilizând metoda densității Kernel aplic</w:t>
      </w:r>
      <w:r w:rsidR="00DC780E">
        <w:rPr>
          <w:rFonts w:eastAsia="MS Mincho" w:cs="Times New Roman"/>
          <w:color w:val="auto"/>
          <w:lang w:val="en-US"/>
        </w:rPr>
        <w:t>ate cu ajutorul tehnologiei GIS</w:t>
      </w:r>
      <w:r w:rsidRPr="00402E33">
        <w:rPr>
          <w:rFonts w:eastAsia="MS Mincho" w:cs="Times New Roman"/>
          <w:color w:val="auto"/>
          <w:lang w:val="en-US"/>
        </w:rPr>
        <w:t xml:space="preserve">, ținând-se cont de atributele   datelor accidentelor înregistrate iar perioada de timp istorică luată în considerare este de 5 ani.” </w:t>
      </w:r>
    </w:p>
    <w:p w14:paraId="56162A2A" w14:textId="5EF1DD01" w:rsidR="000051C2" w:rsidRPr="000051C2" w:rsidRDefault="000051C2" w:rsidP="00A95798">
      <w:pPr>
        <w:spacing w:before="0" w:after="120"/>
        <w:ind w:left="-720" w:right="341"/>
        <w:rPr>
          <w:rFonts w:eastAsia="MS Mincho" w:cs="Times New Roman"/>
          <w:color w:val="auto"/>
          <w:lang w:val="en-US"/>
        </w:rPr>
      </w:pPr>
      <w:r w:rsidRPr="000051C2">
        <w:rPr>
          <w:rFonts w:eastAsia="MS Mincho" w:cs="Times New Roman"/>
          <w:color w:val="auto"/>
          <w:lang w:val="en-US"/>
        </w:rPr>
        <w:t xml:space="preserve">Având în vedere considerentele de mai sus, </w:t>
      </w:r>
      <w:r w:rsidR="004D3088">
        <w:rPr>
          <w:rFonts w:eastAsia="MS Mincho" w:cs="Times New Roman"/>
          <w:color w:val="auto"/>
          <w:lang w:val="en-US"/>
        </w:rPr>
        <w:t>propunem spre aprobare proiectul alăturat</w:t>
      </w:r>
      <w:r w:rsidR="004D3088" w:rsidRPr="004D3088">
        <w:rPr>
          <w:rFonts w:eastAsia="MS Mincho" w:cs="Times New Roman"/>
          <w:color w:val="auto"/>
          <w:lang w:val="en-US"/>
        </w:rPr>
        <w:t xml:space="preserve"> de</w:t>
      </w:r>
      <w:r w:rsidR="004D3088">
        <w:rPr>
          <w:rFonts w:eastAsia="MS Mincho" w:cs="Times New Roman"/>
          <w:color w:val="auto"/>
          <w:lang w:val="en-US"/>
        </w:rPr>
        <w:t xml:space="preserve"> </w:t>
      </w:r>
      <w:r w:rsidR="00E90328">
        <w:rPr>
          <w:rFonts w:eastAsia="MS Mincho" w:cs="Times New Roman"/>
          <w:i/>
          <w:color w:val="auto"/>
          <w:lang w:val="en-US"/>
        </w:rPr>
        <w:t>Ordin al</w:t>
      </w:r>
      <w:r w:rsidR="00E90328" w:rsidRPr="00E90328">
        <w:rPr>
          <w:rFonts w:eastAsia="MS Mincho" w:cs="Times New Roman"/>
          <w:i/>
          <w:color w:val="auto"/>
          <w:lang w:val="en-US"/>
        </w:rPr>
        <w:t xml:space="preserve"> ministrului transporturilor și infrastructurii pentru completarea articolului 4 din anexa la Ordinul ministrului transporturilor şi infrastructurii nr. 358/2012 pentru aprobarea Liniilor directoare cu privire la măsurile de îmbunătăţire a siguranţei circulaţiei pe infrastructura rutieră, în vederea aplicării Directivei 2008/96/CE a Parlamentului European şi a Consiliului din 19 noiembrie 2008 privind gestionarea siguranţei infrastructurii</w:t>
      </w:r>
      <w:r w:rsidRPr="000051C2">
        <w:rPr>
          <w:rFonts w:eastAsia="MS Mincho" w:cs="Times New Roman"/>
          <w:color w:val="auto"/>
          <w:lang w:val="en-US"/>
        </w:rPr>
        <w:t>.</w:t>
      </w:r>
    </w:p>
    <w:p w14:paraId="45C9F335" w14:textId="09C3A463" w:rsidR="009E6F4A" w:rsidRPr="001519EB" w:rsidRDefault="00474FAC" w:rsidP="00DE27AF">
      <w:pPr>
        <w:spacing w:after="0"/>
        <w:ind w:left="-720" w:right="341"/>
        <w:rPr>
          <w:b/>
        </w:rPr>
      </w:pPr>
      <w:r w:rsidRPr="006C5ABF">
        <w:rPr>
          <w:b/>
        </w:rPr>
        <w:t xml:space="preserve">Cu </w:t>
      </w:r>
      <w:r>
        <w:rPr>
          <w:b/>
        </w:rPr>
        <w:t>respect</w:t>
      </w:r>
      <w:r w:rsidRPr="006C5ABF">
        <w:rPr>
          <w:b/>
        </w:rPr>
        <w:t>,</w:t>
      </w:r>
    </w:p>
    <w:p w14:paraId="49060633" w14:textId="77777777" w:rsidR="00E10631" w:rsidRDefault="00E10631" w:rsidP="00DE27AF">
      <w:pPr>
        <w:spacing w:before="0" w:after="0"/>
        <w:ind w:left="-720" w:right="341"/>
        <w:jc w:val="center"/>
        <w:rPr>
          <w:b/>
        </w:rPr>
      </w:pPr>
    </w:p>
    <w:p w14:paraId="737FCF77" w14:textId="3C4B536B" w:rsidR="009704D7" w:rsidRDefault="009704D7" w:rsidP="00DE27AF">
      <w:pPr>
        <w:spacing w:before="0" w:after="0"/>
        <w:ind w:left="-720" w:right="341"/>
        <w:jc w:val="center"/>
        <w:rPr>
          <w:b/>
        </w:rPr>
      </w:pPr>
      <w:r w:rsidRPr="0000256C">
        <w:rPr>
          <w:b/>
        </w:rPr>
        <w:t>DIRECTOR</w:t>
      </w:r>
      <w:r>
        <w:rPr>
          <w:b/>
        </w:rPr>
        <w:t xml:space="preserve"> </w:t>
      </w:r>
    </w:p>
    <w:p w14:paraId="2AB2D101" w14:textId="2908CD96" w:rsidR="00A32162" w:rsidRDefault="00220CF9" w:rsidP="00DE27AF">
      <w:pPr>
        <w:spacing w:before="0" w:after="0"/>
        <w:ind w:left="-720" w:right="341"/>
        <w:jc w:val="center"/>
        <w:rPr>
          <w:b/>
        </w:rPr>
      </w:pPr>
      <w:r>
        <w:rPr>
          <w:b/>
        </w:rPr>
        <w:t>Adriana</w:t>
      </w:r>
      <w:r w:rsidR="009704D7">
        <w:rPr>
          <w:b/>
        </w:rPr>
        <w:t xml:space="preserve"> KALAPIS</w:t>
      </w:r>
    </w:p>
    <w:p w14:paraId="05A0BE2F" w14:textId="77777777" w:rsidR="00240560" w:rsidRDefault="00240560" w:rsidP="00DE27AF">
      <w:pPr>
        <w:spacing w:before="0" w:after="0"/>
        <w:ind w:left="-720" w:right="341"/>
        <w:jc w:val="center"/>
        <w:rPr>
          <w:b/>
        </w:rPr>
      </w:pPr>
    </w:p>
    <w:p w14:paraId="02ACD124" w14:textId="77777777" w:rsidR="00240560" w:rsidRPr="00240560" w:rsidRDefault="00240560" w:rsidP="00DE27AF">
      <w:pPr>
        <w:spacing w:before="0" w:after="0"/>
        <w:ind w:left="-720" w:right="341"/>
        <w:jc w:val="center"/>
      </w:pPr>
    </w:p>
    <w:p w14:paraId="0728AF71" w14:textId="214AA258" w:rsidR="00E10631" w:rsidRPr="00240560" w:rsidRDefault="00240560" w:rsidP="00A95798">
      <w:pPr>
        <w:spacing w:before="0" w:after="0"/>
        <w:ind w:left="6480" w:right="341" w:firstLine="720"/>
        <w:rPr>
          <w:sz w:val="20"/>
        </w:rPr>
      </w:pPr>
      <w:r w:rsidRPr="00240560">
        <w:rPr>
          <w:sz w:val="20"/>
        </w:rPr>
        <w:t>Întocmit,</w:t>
      </w:r>
      <w:r w:rsidRPr="00240560">
        <w:rPr>
          <w:sz w:val="20"/>
        </w:rPr>
        <w:br/>
        <w:t xml:space="preserve">        </w:t>
      </w:r>
      <w:r w:rsidR="00E10631">
        <w:rPr>
          <w:sz w:val="20"/>
        </w:rPr>
        <w:t xml:space="preserve">  </w:t>
      </w:r>
      <w:r w:rsidRPr="00240560">
        <w:rPr>
          <w:sz w:val="20"/>
        </w:rPr>
        <w:t>Victor Tache</w:t>
      </w:r>
    </w:p>
    <w:sectPr w:rsidR="00E10631" w:rsidRPr="00240560" w:rsidSect="0036766D">
      <w:headerReference w:type="default" r:id="rId7"/>
      <w:footerReference w:type="default" r:id="rId8"/>
      <w:pgSz w:w="11906" w:h="16838" w:code="9"/>
      <w:pgMar w:top="1890" w:right="567" w:bottom="1134" w:left="2268" w:header="720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68866" w14:textId="77777777" w:rsidR="000C3B9D" w:rsidRDefault="000C3B9D" w:rsidP="009772BD">
      <w:r>
        <w:separator/>
      </w:r>
    </w:p>
  </w:endnote>
  <w:endnote w:type="continuationSeparator" w:id="0">
    <w:p w14:paraId="442EC536" w14:textId="77777777" w:rsidR="000C3B9D" w:rsidRDefault="000C3B9D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35FE5" w14:textId="77777777" w:rsidR="002328DD" w:rsidRPr="009772BD" w:rsidRDefault="002328DD" w:rsidP="009772BD">
    <w:pPr>
      <w:pStyle w:val="Footer1"/>
    </w:pPr>
    <w:r w:rsidRPr="009772BD">
      <w:t>Adresa de corespondență</w:t>
    </w:r>
  </w:p>
  <w:p w14:paraId="7292B2AC" w14:textId="6247D78C" w:rsidR="002328DD" w:rsidRPr="00220CF9" w:rsidRDefault="002328DD" w:rsidP="009772BD">
    <w:pPr>
      <w:pStyle w:val="Footer1"/>
      <w:rPr>
        <w:b/>
      </w:rPr>
    </w:pPr>
    <w:r w:rsidRPr="009772BD">
      <w:t xml:space="preserve">Tel: +4 021 xxx xxx Fax: +4 021 xxx xxx Email: </w:t>
    </w:r>
    <w:r w:rsidR="00220CF9" w:rsidRPr="00220CF9">
      <w:rPr>
        <w:b/>
      </w:rPr>
      <w:t>secretariat.dtr@mt.ro</w:t>
    </w:r>
  </w:p>
  <w:p w14:paraId="00DD7290" w14:textId="77777777" w:rsidR="002328DD" w:rsidRPr="009772BD" w:rsidRDefault="002328DD" w:rsidP="009772BD">
    <w:pPr>
      <w:pStyle w:val="Footer1"/>
    </w:pPr>
    <w:r w:rsidRPr="009772BD">
      <w:t>www.</w:t>
    </w:r>
    <w:r w:rsidR="00371A10">
      <w:t>mt.gov.</w:t>
    </w:r>
    <w:r w:rsidRPr="009772BD">
      <w:t>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C0D76" w14:textId="77777777" w:rsidR="000C3B9D" w:rsidRDefault="000C3B9D" w:rsidP="009772BD">
      <w:r>
        <w:separator/>
      </w:r>
    </w:p>
  </w:footnote>
  <w:footnote w:type="continuationSeparator" w:id="0">
    <w:p w14:paraId="1C3B63D7" w14:textId="77777777" w:rsidR="000C3B9D" w:rsidRDefault="000C3B9D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F4296" w14:textId="0DD04BE4" w:rsidR="00B50898" w:rsidRPr="00B50898" w:rsidRDefault="00493720" w:rsidP="00B50898">
    <w:pPr>
      <w:pStyle w:val="Header"/>
      <w:rPr>
        <w:rFonts w:ascii="Trajan Pro" w:hAnsi="Trajan Pro"/>
        <w:color w:val="FF0000"/>
      </w:rPr>
    </w:pPr>
    <w:r w:rsidRPr="00493720">
      <w:rPr>
        <w:rFonts w:ascii="Trajan Pro" w:hAnsi="Trajan Pro"/>
        <w:noProof/>
        <w:color w:val="FF0000"/>
        <w:lang w:eastAsia="ro-RO"/>
      </w:rPr>
      <w:drawing>
        <wp:anchor distT="0" distB="0" distL="114300" distR="114300" simplePos="0" relativeHeight="251658240" behindDoc="1" locked="0" layoutInCell="1" allowOverlap="1" wp14:anchorId="0AFC179D" wp14:editId="13F58222">
          <wp:simplePos x="0" y="0"/>
          <wp:positionH relativeFrom="column">
            <wp:posOffset>-849630</wp:posOffset>
          </wp:positionH>
          <wp:positionV relativeFrom="paragraph">
            <wp:posOffset>-551815</wp:posOffset>
          </wp:positionV>
          <wp:extent cx="6338491" cy="1343025"/>
          <wp:effectExtent l="0" t="0" r="5715" b="0"/>
          <wp:wrapNone/>
          <wp:docPr id="1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49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1ECD"/>
    <w:multiLevelType w:val="hybridMultilevel"/>
    <w:tmpl w:val="9E8A9C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624C"/>
    <w:multiLevelType w:val="hybridMultilevel"/>
    <w:tmpl w:val="A5E6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14F1"/>
    <w:multiLevelType w:val="hybridMultilevel"/>
    <w:tmpl w:val="30EA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1E56"/>
    <w:rsid w:val="00003FFC"/>
    <w:rsid w:val="000051C2"/>
    <w:rsid w:val="00026CF2"/>
    <w:rsid w:val="000305C9"/>
    <w:rsid w:val="00043D26"/>
    <w:rsid w:val="00046F0A"/>
    <w:rsid w:val="0005189C"/>
    <w:rsid w:val="000745D4"/>
    <w:rsid w:val="00092617"/>
    <w:rsid w:val="000B528C"/>
    <w:rsid w:val="000C3B9D"/>
    <w:rsid w:val="000D01D7"/>
    <w:rsid w:val="000E04BD"/>
    <w:rsid w:val="000E58AE"/>
    <w:rsid w:val="000E7C1E"/>
    <w:rsid w:val="0010711D"/>
    <w:rsid w:val="001145FD"/>
    <w:rsid w:val="00117512"/>
    <w:rsid w:val="00120690"/>
    <w:rsid w:val="00120C28"/>
    <w:rsid w:val="0012699E"/>
    <w:rsid w:val="001466DC"/>
    <w:rsid w:val="001519EB"/>
    <w:rsid w:val="00153F97"/>
    <w:rsid w:val="001640AE"/>
    <w:rsid w:val="00164A50"/>
    <w:rsid w:val="00184FF7"/>
    <w:rsid w:val="00195A76"/>
    <w:rsid w:val="001A7CA0"/>
    <w:rsid w:val="001B4277"/>
    <w:rsid w:val="001C20C0"/>
    <w:rsid w:val="001E35C6"/>
    <w:rsid w:val="00204F32"/>
    <w:rsid w:val="00213B04"/>
    <w:rsid w:val="00217F05"/>
    <w:rsid w:val="00220CF9"/>
    <w:rsid w:val="00225420"/>
    <w:rsid w:val="002328DD"/>
    <w:rsid w:val="002366EC"/>
    <w:rsid w:val="00240560"/>
    <w:rsid w:val="002467CB"/>
    <w:rsid w:val="00263300"/>
    <w:rsid w:val="0026481D"/>
    <w:rsid w:val="00287CC5"/>
    <w:rsid w:val="0029067A"/>
    <w:rsid w:val="0029724D"/>
    <w:rsid w:val="002B5548"/>
    <w:rsid w:val="002C2380"/>
    <w:rsid w:val="002E1DF4"/>
    <w:rsid w:val="002F128E"/>
    <w:rsid w:val="002F7EEC"/>
    <w:rsid w:val="0030334A"/>
    <w:rsid w:val="00310DEF"/>
    <w:rsid w:val="00331752"/>
    <w:rsid w:val="0036766D"/>
    <w:rsid w:val="00371A10"/>
    <w:rsid w:val="00376BA2"/>
    <w:rsid w:val="00397F57"/>
    <w:rsid w:val="003C0E59"/>
    <w:rsid w:val="00402476"/>
    <w:rsid w:val="00402E33"/>
    <w:rsid w:val="0040453A"/>
    <w:rsid w:val="00404557"/>
    <w:rsid w:val="00427B84"/>
    <w:rsid w:val="00430EF1"/>
    <w:rsid w:val="0043210B"/>
    <w:rsid w:val="00440F01"/>
    <w:rsid w:val="00445E81"/>
    <w:rsid w:val="00466EA5"/>
    <w:rsid w:val="00474FAC"/>
    <w:rsid w:val="0048681A"/>
    <w:rsid w:val="00493720"/>
    <w:rsid w:val="004C105A"/>
    <w:rsid w:val="004C71E1"/>
    <w:rsid w:val="004D3088"/>
    <w:rsid w:val="004E0DD7"/>
    <w:rsid w:val="004E18CB"/>
    <w:rsid w:val="004F1C7A"/>
    <w:rsid w:val="004F6E8C"/>
    <w:rsid w:val="00502EEA"/>
    <w:rsid w:val="0050658A"/>
    <w:rsid w:val="005104F6"/>
    <w:rsid w:val="00545A22"/>
    <w:rsid w:val="00550B12"/>
    <w:rsid w:val="005604EA"/>
    <w:rsid w:val="0059038F"/>
    <w:rsid w:val="00594D02"/>
    <w:rsid w:val="005B0010"/>
    <w:rsid w:val="005D256E"/>
    <w:rsid w:val="005D7764"/>
    <w:rsid w:val="005D7E56"/>
    <w:rsid w:val="005E213F"/>
    <w:rsid w:val="005E4BA7"/>
    <w:rsid w:val="005F01C9"/>
    <w:rsid w:val="005F43A8"/>
    <w:rsid w:val="006003E4"/>
    <w:rsid w:val="0060529D"/>
    <w:rsid w:val="00632C59"/>
    <w:rsid w:val="00641081"/>
    <w:rsid w:val="00655E70"/>
    <w:rsid w:val="00660CE4"/>
    <w:rsid w:val="00665BF9"/>
    <w:rsid w:val="00680ADC"/>
    <w:rsid w:val="006A17EF"/>
    <w:rsid w:val="006B04EC"/>
    <w:rsid w:val="006C238B"/>
    <w:rsid w:val="006C5ABF"/>
    <w:rsid w:val="006C6C19"/>
    <w:rsid w:val="006C6CB4"/>
    <w:rsid w:val="006C7613"/>
    <w:rsid w:val="006F744F"/>
    <w:rsid w:val="006F7E5B"/>
    <w:rsid w:val="00705D0E"/>
    <w:rsid w:val="007525CC"/>
    <w:rsid w:val="00753BE3"/>
    <w:rsid w:val="007564B1"/>
    <w:rsid w:val="0076087B"/>
    <w:rsid w:val="00766487"/>
    <w:rsid w:val="00770079"/>
    <w:rsid w:val="00785990"/>
    <w:rsid w:val="007B4640"/>
    <w:rsid w:val="007B485A"/>
    <w:rsid w:val="007B55DB"/>
    <w:rsid w:val="007C6623"/>
    <w:rsid w:val="007D34CE"/>
    <w:rsid w:val="007F7CBF"/>
    <w:rsid w:val="0080251E"/>
    <w:rsid w:val="008118CC"/>
    <w:rsid w:val="008322BF"/>
    <w:rsid w:val="00832B12"/>
    <w:rsid w:val="00840A24"/>
    <w:rsid w:val="00866224"/>
    <w:rsid w:val="00880908"/>
    <w:rsid w:val="00880E3B"/>
    <w:rsid w:val="008A1CFB"/>
    <w:rsid w:val="008D4BFB"/>
    <w:rsid w:val="008F5356"/>
    <w:rsid w:val="009037F6"/>
    <w:rsid w:val="009158BC"/>
    <w:rsid w:val="00923BC8"/>
    <w:rsid w:val="009430B8"/>
    <w:rsid w:val="00950927"/>
    <w:rsid w:val="0095631E"/>
    <w:rsid w:val="0096732C"/>
    <w:rsid w:val="009704D7"/>
    <w:rsid w:val="009772BD"/>
    <w:rsid w:val="009D4667"/>
    <w:rsid w:val="009E6F4A"/>
    <w:rsid w:val="009F0927"/>
    <w:rsid w:val="00A07880"/>
    <w:rsid w:val="00A30EDA"/>
    <w:rsid w:val="00A32162"/>
    <w:rsid w:val="00A646AE"/>
    <w:rsid w:val="00A653BF"/>
    <w:rsid w:val="00A66748"/>
    <w:rsid w:val="00A70AC1"/>
    <w:rsid w:val="00A744B0"/>
    <w:rsid w:val="00A95628"/>
    <w:rsid w:val="00A95798"/>
    <w:rsid w:val="00B31400"/>
    <w:rsid w:val="00B44F8A"/>
    <w:rsid w:val="00B50898"/>
    <w:rsid w:val="00B5430D"/>
    <w:rsid w:val="00B70459"/>
    <w:rsid w:val="00B902B8"/>
    <w:rsid w:val="00BA2393"/>
    <w:rsid w:val="00BC4431"/>
    <w:rsid w:val="00BC475B"/>
    <w:rsid w:val="00C142AB"/>
    <w:rsid w:val="00C371BD"/>
    <w:rsid w:val="00CA1674"/>
    <w:rsid w:val="00CB3EE6"/>
    <w:rsid w:val="00D0038B"/>
    <w:rsid w:val="00D0220E"/>
    <w:rsid w:val="00D11A6D"/>
    <w:rsid w:val="00D3161D"/>
    <w:rsid w:val="00D532E7"/>
    <w:rsid w:val="00D82E42"/>
    <w:rsid w:val="00D95C77"/>
    <w:rsid w:val="00D9643B"/>
    <w:rsid w:val="00DA1B14"/>
    <w:rsid w:val="00DB35C3"/>
    <w:rsid w:val="00DC780E"/>
    <w:rsid w:val="00DD1D52"/>
    <w:rsid w:val="00DD6FB0"/>
    <w:rsid w:val="00DE27AF"/>
    <w:rsid w:val="00DE3341"/>
    <w:rsid w:val="00DE4C14"/>
    <w:rsid w:val="00DF35E2"/>
    <w:rsid w:val="00DF66A1"/>
    <w:rsid w:val="00E10631"/>
    <w:rsid w:val="00E172A8"/>
    <w:rsid w:val="00E26CC4"/>
    <w:rsid w:val="00E57DFA"/>
    <w:rsid w:val="00E64079"/>
    <w:rsid w:val="00E64D3A"/>
    <w:rsid w:val="00E6505E"/>
    <w:rsid w:val="00E67B15"/>
    <w:rsid w:val="00E67F57"/>
    <w:rsid w:val="00E86FF8"/>
    <w:rsid w:val="00E90328"/>
    <w:rsid w:val="00E94589"/>
    <w:rsid w:val="00E97023"/>
    <w:rsid w:val="00EA1D34"/>
    <w:rsid w:val="00EA73DE"/>
    <w:rsid w:val="00EC2DB4"/>
    <w:rsid w:val="00EC6850"/>
    <w:rsid w:val="00EE7AB3"/>
    <w:rsid w:val="00EF067D"/>
    <w:rsid w:val="00EF592E"/>
    <w:rsid w:val="00F22A5F"/>
    <w:rsid w:val="00F2573D"/>
    <w:rsid w:val="00F32EEA"/>
    <w:rsid w:val="00F46B2E"/>
    <w:rsid w:val="00F732E1"/>
    <w:rsid w:val="00F73E6E"/>
    <w:rsid w:val="00F80E11"/>
    <w:rsid w:val="00FC35C9"/>
    <w:rsid w:val="00FC40EC"/>
    <w:rsid w:val="00FC7074"/>
    <w:rsid w:val="00FC73F4"/>
    <w:rsid w:val="00FE0C3B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4B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Emphasis">
    <w:name w:val="Emphasis"/>
    <w:uiPriority w:val="20"/>
    <w:qFormat/>
    <w:rsid w:val="00371A1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71A10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71A10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0"/>
    <w:rPr>
      <w:rFonts w:ascii="Segoe UI" w:hAnsi="Segoe UI" w:cs="Segoe UI"/>
      <w:color w:val="000000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1C20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224"/>
    <w:pPr>
      <w:ind w:left="720"/>
      <w:contextualSpacing/>
    </w:pPr>
  </w:style>
  <w:style w:type="table" w:styleId="TableGrid">
    <w:name w:val="Table Grid"/>
    <w:basedOn w:val="TableNormal"/>
    <w:uiPriority w:val="39"/>
    <w:rsid w:val="0024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2024-08-05T07:48:00Z</dcterms:created>
  <dcterms:modified xsi:type="dcterms:W3CDTF">2024-08-05T07:48:00Z</dcterms:modified>
</cp:coreProperties>
</file>