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0E" w:rsidRDefault="00A2560E">
      <w:pPr>
        <w:pStyle w:val="Title"/>
        <w:spacing w:line="276" w:lineRule="auto"/>
      </w:pPr>
    </w:p>
    <w:p w:rsidR="00A2560E" w:rsidRDefault="00A15547">
      <w:pPr>
        <w:pStyle w:val="Title"/>
        <w:spacing w:line="276" w:lineRule="auto"/>
        <w:rPr>
          <w:rFonts w:ascii="Trebuchet MS" w:hAnsi="Trebuchet MS"/>
        </w:rPr>
      </w:pPr>
      <w:r>
        <w:rPr>
          <w:rFonts w:ascii="Trebuchet MS" w:hAnsi="Trebuchet MS"/>
        </w:rPr>
        <w:t>NOTĂ DE FUNDAMENTARE</w:t>
      </w:r>
    </w:p>
    <w:p w:rsidR="00A2560E" w:rsidRDefault="00A15547">
      <w:pPr>
        <w:spacing w:after="0" w:line="276" w:lineRule="auto"/>
        <w:jc w:val="center"/>
        <w:rPr>
          <w:rFonts w:ascii="Trebuchet MS" w:hAnsi="Trebuchet MS"/>
          <w:b/>
          <w:bCs/>
          <w:sz w:val="24"/>
          <w:szCs w:val="24"/>
          <w:lang w:val="ro-RO"/>
        </w:rPr>
      </w:pPr>
      <w:r>
        <w:rPr>
          <w:rFonts w:ascii="Trebuchet MS" w:hAnsi="Trebuchet MS"/>
          <w:b/>
          <w:bCs/>
          <w:sz w:val="24"/>
          <w:szCs w:val="24"/>
          <w:lang w:val="ro-RO"/>
        </w:rPr>
        <w:t>Secțiunea 1</w:t>
      </w:r>
    </w:p>
    <w:p w:rsidR="00A2560E" w:rsidRDefault="00A15547">
      <w:pPr>
        <w:pStyle w:val="Heading1"/>
        <w:spacing w:line="276" w:lineRule="auto"/>
        <w:rPr>
          <w:rFonts w:ascii="Trebuchet MS" w:hAnsi="Trebuchet MS"/>
          <w:lang w:val="ro-RO"/>
        </w:rPr>
      </w:pPr>
      <w:r>
        <w:rPr>
          <w:rFonts w:ascii="Trebuchet MS" w:hAnsi="Trebuchet MS"/>
          <w:lang w:val="ro-RO"/>
        </w:rPr>
        <w:t>Titlul proiectului de act normativ</w:t>
      </w:r>
    </w:p>
    <w:p w:rsidR="00A2560E" w:rsidRDefault="00A2560E">
      <w:pPr>
        <w:rPr>
          <w:lang w:val="ro-RO" w:eastAsia="ro-RO"/>
        </w:rPr>
      </w:pPr>
    </w:p>
    <w:tbl>
      <w:tblPr>
        <w:tblW w:w="943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34"/>
      </w:tblGrid>
      <w:tr w:rsidR="00A2560E">
        <w:trPr>
          <w:trHeight w:val="1545"/>
        </w:trPr>
        <w:tc>
          <w:tcPr>
            <w:tcW w:w="9434" w:type="dxa"/>
            <w:tcBorders>
              <w:top w:val="single" w:sz="4" w:space="0" w:color="auto"/>
              <w:bottom w:val="single" w:sz="4" w:space="0" w:color="auto"/>
            </w:tcBorders>
          </w:tcPr>
          <w:p w:rsidR="00A2560E" w:rsidRDefault="00A2560E">
            <w:pPr>
              <w:spacing w:after="0" w:line="240" w:lineRule="auto"/>
              <w:jc w:val="center"/>
              <w:rPr>
                <w:rFonts w:ascii="Trebuchet MS" w:hAnsi="Trebuchet MS"/>
                <w:b/>
                <w:lang w:val="ro-RO"/>
              </w:rPr>
            </w:pPr>
          </w:p>
          <w:p w:rsidR="00A2560E" w:rsidRDefault="00A15547">
            <w:pPr>
              <w:jc w:val="center"/>
              <w:rPr>
                <w:rFonts w:ascii="Trebuchet MS" w:hAnsi="Trebuchet MS"/>
                <w:b/>
                <w:lang w:val="ro-RO"/>
              </w:rPr>
            </w:pPr>
            <w:r>
              <w:rPr>
                <w:rFonts w:ascii="Trebuchet MS" w:hAnsi="Trebuchet MS"/>
                <w:b/>
                <w:lang w:val="ro-RO"/>
              </w:rPr>
              <w:t>Hotărârea Guvernului pentru modificarea</w:t>
            </w:r>
            <w:r w:rsidR="00623162">
              <w:rPr>
                <w:rFonts w:ascii="Trebuchet MS" w:hAnsi="Trebuchet MS"/>
                <w:b/>
                <w:lang w:val="ro-RO"/>
              </w:rPr>
              <w:t xml:space="preserve"> a</w:t>
            </w:r>
            <w:r>
              <w:rPr>
                <w:rFonts w:ascii="Trebuchet MS" w:hAnsi="Trebuchet MS"/>
                <w:b/>
                <w:lang w:val="ro-RO"/>
              </w:rPr>
              <w:t>nexei nr.1 la Hotărârea Guvernului nr. 185/1994 privind acordarea alocației de hrană zilnice pentru personalul navigant și auxiliar îmbarcat pe nave</w:t>
            </w:r>
          </w:p>
          <w:p w:rsidR="00A2560E" w:rsidRDefault="00A2560E">
            <w:pPr>
              <w:spacing w:after="0" w:line="240" w:lineRule="auto"/>
              <w:jc w:val="center"/>
              <w:rPr>
                <w:rFonts w:ascii="Trebuchet MS" w:hAnsi="Trebuchet MS"/>
                <w:b/>
                <w:lang w:val="ro-RO"/>
              </w:rPr>
            </w:pPr>
          </w:p>
        </w:tc>
      </w:tr>
    </w:tbl>
    <w:p w:rsidR="00A2560E" w:rsidRDefault="00A2560E">
      <w:pPr>
        <w:spacing w:after="0" w:line="240" w:lineRule="auto"/>
        <w:jc w:val="center"/>
        <w:rPr>
          <w:rFonts w:ascii="Times New Roman" w:hAnsi="Times New Roman"/>
          <w:b/>
          <w:bCs/>
          <w:sz w:val="24"/>
          <w:szCs w:val="24"/>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2-a</w:t>
      </w:r>
    </w:p>
    <w:p w:rsidR="00A2560E" w:rsidRDefault="00A15547">
      <w:pPr>
        <w:pStyle w:val="Heading1"/>
        <w:rPr>
          <w:rFonts w:ascii="Trebuchet MS" w:hAnsi="Trebuchet MS"/>
          <w:sz w:val="22"/>
          <w:szCs w:val="22"/>
          <w:lang w:val="ro-RO"/>
        </w:rPr>
      </w:pPr>
      <w:r>
        <w:rPr>
          <w:rFonts w:ascii="Trebuchet MS" w:hAnsi="Trebuchet MS"/>
          <w:sz w:val="22"/>
          <w:szCs w:val="22"/>
          <w:lang w:val="ro-RO"/>
        </w:rPr>
        <w:t>Motivul emiterii actului normativ</w:t>
      </w:r>
    </w:p>
    <w:p w:rsidR="00A2560E" w:rsidRDefault="00A2560E">
      <w:pPr>
        <w:rPr>
          <w:lang w:val="ro-RO" w:eastAsia="ro-RO"/>
        </w:rPr>
      </w:pPr>
    </w:p>
    <w:tbl>
      <w:tblPr>
        <w:tblpPr w:leftFromText="180" w:rightFromText="180" w:vertAnchor="text" w:tblpXSpec="right" w:tblpY="1"/>
        <w:tblOverlap w:val="never"/>
        <w:tblW w:w="92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85"/>
        <w:gridCol w:w="7375"/>
      </w:tblGrid>
      <w:tr w:rsidR="00A2560E">
        <w:trPr>
          <w:trHeight w:val="170"/>
        </w:trPr>
        <w:tc>
          <w:tcPr>
            <w:tcW w:w="1885" w:type="dxa"/>
            <w:tcBorders>
              <w:top w:val="single" w:sz="4" w:space="0" w:color="auto"/>
              <w:bottom w:val="single" w:sz="4" w:space="0" w:color="auto"/>
              <w:right w:val="single" w:sz="4" w:space="0" w:color="auto"/>
            </w:tcBorders>
          </w:tcPr>
          <w:p w:rsidR="00A2560E" w:rsidRDefault="00A15547">
            <w:pPr>
              <w:tabs>
                <w:tab w:val="left" w:pos="1597"/>
              </w:tabs>
              <w:spacing w:after="0" w:line="240" w:lineRule="auto"/>
              <w:rPr>
                <w:rFonts w:ascii="Trebuchet MS" w:hAnsi="Trebuchet MS"/>
                <w:lang w:val="ro-RO"/>
              </w:rPr>
            </w:pPr>
            <w:r>
              <w:rPr>
                <w:rFonts w:ascii="Trebuchet MS" w:hAnsi="Trebuchet MS"/>
                <w:lang w:val="ro-RO"/>
              </w:rPr>
              <w:t>2.1. Sursa proiectului de act normativ</w:t>
            </w:r>
          </w:p>
        </w:tc>
        <w:tc>
          <w:tcPr>
            <w:tcW w:w="7375" w:type="dxa"/>
            <w:tcBorders>
              <w:top w:val="single" w:sz="4" w:space="0" w:color="auto"/>
              <w:left w:val="single" w:sz="4" w:space="0" w:color="auto"/>
              <w:bottom w:val="single" w:sz="4" w:space="0" w:color="auto"/>
            </w:tcBorders>
          </w:tcPr>
          <w:p w:rsidR="00A2560E" w:rsidRDefault="00A15547">
            <w:pPr>
              <w:pStyle w:val="Default"/>
              <w:spacing w:after="120"/>
              <w:jc w:val="both"/>
              <w:rPr>
                <w:rFonts w:ascii="Trebuchet MS" w:hAnsi="Trebuchet MS" w:cs="Times New Roman"/>
                <w:color w:val="auto"/>
                <w:sz w:val="22"/>
                <w:szCs w:val="22"/>
                <w:lang w:val="ro-RO"/>
              </w:rPr>
            </w:pPr>
            <w:r>
              <w:rPr>
                <w:rFonts w:ascii="Trebuchet MS" w:hAnsi="Trebuchet MS" w:cs="Times New Roman"/>
                <w:color w:val="auto"/>
                <w:sz w:val="22"/>
                <w:szCs w:val="22"/>
                <w:lang w:val="ro-RO"/>
              </w:rPr>
              <w:t>Proiectul a fost elaborat de către Ministerul Transporturilor și Infrastructurii – Direcția Transport Naval.</w:t>
            </w:r>
          </w:p>
          <w:p w:rsidR="00A2560E" w:rsidRDefault="00A15547">
            <w:pPr>
              <w:pStyle w:val="Default"/>
              <w:spacing w:after="120"/>
              <w:jc w:val="both"/>
              <w:rPr>
                <w:rFonts w:ascii="Trebuchet MS" w:hAnsi="Trebuchet MS" w:cs="Times New Roman"/>
                <w:color w:val="auto"/>
                <w:sz w:val="22"/>
                <w:szCs w:val="22"/>
                <w:lang w:val="ro-RO"/>
              </w:rPr>
            </w:pPr>
            <w:r>
              <w:rPr>
                <w:rFonts w:ascii="Trebuchet MS" w:hAnsi="Trebuchet MS"/>
                <w:color w:val="auto"/>
                <w:sz w:val="22"/>
                <w:szCs w:val="22"/>
                <w:lang w:val="ro-RO"/>
              </w:rPr>
              <w:t xml:space="preserve">Odată cu creșterea indicelui de inflație la produsele de bază, puterea de cumpărare a salariaților a scăzut, iar </w:t>
            </w:r>
            <w:r>
              <w:rPr>
                <w:rFonts w:ascii="Trebuchet MS" w:hAnsi="Trebuchet MS" w:cs="Times New Roman"/>
                <w:color w:val="auto"/>
                <w:sz w:val="22"/>
                <w:szCs w:val="22"/>
                <w:lang w:val="ro-RO"/>
              </w:rPr>
              <w:t xml:space="preserve"> intrarea în vigoare a proiectului de act normativ va duce la </w:t>
            </w:r>
            <w:r>
              <w:rPr>
                <w:rFonts w:ascii="Trebuchet MS" w:hAnsi="Trebuchet MS"/>
                <w:color w:val="auto"/>
                <w:sz w:val="22"/>
                <w:szCs w:val="22"/>
                <w:lang w:val="ro-RO"/>
              </w:rPr>
              <w:t xml:space="preserve"> creșterea calității vieții personalului navigant.</w:t>
            </w:r>
            <w:r>
              <w:rPr>
                <w:rFonts w:ascii="Trebuchet MS" w:hAnsi="Trebuchet MS" w:cs="Times New Roman"/>
                <w:color w:val="auto"/>
                <w:sz w:val="22"/>
                <w:szCs w:val="22"/>
                <w:lang w:val="ro-RO"/>
              </w:rPr>
              <w:t xml:space="preserve">  </w:t>
            </w:r>
          </w:p>
        </w:tc>
      </w:tr>
      <w:tr w:rsidR="00A2560E">
        <w:trPr>
          <w:trHeight w:val="170"/>
        </w:trPr>
        <w:tc>
          <w:tcPr>
            <w:tcW w:w="1885" w:type="dxa"/>
            <w:tcBorders>
              <w:top w:val="single" w:sz="4" w:space="0" w:color="auto"/>
              <w:bottom w:val="single" w:sz="4" w:space="0" w:color="auto"/>
              <w:right w:val="single" w:sz="4" w:space="0" w:color="auto"/>
            </w:tcBorders>
          </w:tcPr>
          <w:p w:rsidR="00A2560E" w:rsidRDefault="00A15547">
            <w:pPr>
              <w:tabs>
                <w:tab w:val="left" w:pos="1597"/>
              </w:tabs>
              <w:spacing w:after="0" w:line="240" w:lineRule="auto"/>
              <w:rPr>
                <w:rFonts w:ascii="Trebuchet MS" w:hAnsi="Trebuchet MS"/>
                <w:lang w:val="ro-RO"/>
              </w:rPr>
            </w:pPr>
            <w:r>
              <w:rPr>
                <w:rFonts w:ascii="Trebuchet MS" w:hAnsi="Trebuchet MS"/>
                <w:lang w:val="ro-RO"/>
              </w:rPr>
              <w:t>2.2. Descrierea situației actuale</w:t>
            </w:r>
          </w:p>
        </w:tc>
        <w:tc>
          <w:tcPr>
            <w:tcW w:w="7375"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În conformitate cu prevederile art.71, alin.(1) al Ordonanței Guvernului nr.42/1997 privind transportul maritim și pe căile navigabile interioare, republicată, personalul navigant și auxiliar ambarcat pe nave are dreptul la o alocație de hrană zilnică.</w:t>
            </w:r>
          </w:p>
          <w:p w:rsidR="00A2560E" w:rsidRDefault="00A15547">
            <w:pPr>
              <w:spacing w:after="0" w:line="240" w:lineRule="auto"/>
              <w:jc w:val="both"/>
              <w:rPr>
                <w:rFonts w:ascii="Trebuchet MS" w:hAnsi="Trebuchet MS"/>
                <w:lang w:val="ro-RO"/>
              </w:rPr>
            </w:pPr>
            <w:r>
              <w:rPr>
                <w:rFonts w:ascii="Trebuchet MS" w:hAnsi="Trebuchet MS"/>
                <w:lang w:val="ro-RO"/>
              </w:rPr>
              <w:t>Personalul ambarcat pe nave beneficiază de alocație zilnică de hrană conform prevederilor Hotărârii Guvernului nr.185/1994 privind acordarea alocației de hrană zilnice pentru personalul navigant și auxiliar îmbarcat pe nave. Cuantumul alocației zilnice de hrană a fost modificat prin Hotărârea Guvernului nr.598/1997, Hotărârea Guvernului nr. 217/2005, Hotărârea Guvernului nr. 1068/2013, Hotărârea Guvernului nr.437/2018 și Hotărârea Guvernului nr.719/2022.</w:t>
            </w:r>
          </w:p>
          <w:p w:rsidR="00A2560E" w:rsidRDefault="00A15547">
            <w:pPr>
              <w:spacing w:after="0" w:line="240" w:lineRule="auto"/>
              <w:jc w:val="both"/>
              <w:rPr>
                <w:rFonts w:ascii="Trebuchet MS" w:hAnsi="Trebuchet MS"/>
                <w:lang w:val="ro-RO"/>
              </w:rPr>
            </w:pPr>
            <w:r>
              <w:rPr>
                <w:rFonts w:ascii="Trebuchet MS" w:hAnsi="Trebuchet MS"/>
                <w:lang w:val="ro-RO"/>
              </w:rPr>
              <w:t>În prezent se acordă:</w:t>
            </w:r>
          </w:p>
          <w:p w:rsidR="00A2560E" w:rsidRDefault="00A15547">
            <w:pPr>
              <w:spacing w:after="0" w:line="240" w:lineRule="auto"/>
              <w:jc w:val="both"/>
              <w:rPr>
                <w:rFonts w:ascii="Trebuchet MS" w:hAnsi="Trebuchet MS"/>
                <w:lang w:val="ro-RO"/>
              </w:rPr>
            </w:pPr>
            <w:r>
              <w:rPr>
                <w:rFonts w:ascii="Trebuchet MS" w:hAnsi="Trebuchet MS"/>
                <w:lang w:val="ro-RO"/>
              </w:rPr>
              <w:t>- 56,08  lei/zi pentru personalul ambarcat pe nave maritime de transport de mărfuri și de pasageri, nave maritime de cercetare, tancuri petroliere, de transport fluvial, platforme de foraj și extracție maritime, nave de pescuit maritime, nave fluviale cu propulsie de transport de mărfuri și de pasageri, tancuri propulsate de bunkeraj, dr</w:t>
            </w:r>
            <w:r w:rsidR="00623162">
              <w:rPr>
                <w:rFonts w:ascii="Trebuchet MS" w:hAnsi="Trebuchet MS"/>
                <w:lang w:val="ro-RO"/>
              </w:rPr>
              <w:t>age</w:t>
            </w:r>
            <w:r>
              <w:rPr>
                <w:rFonts w:ascii="Trebuchet MS" w:hAnsi="Trebuchet MS"/>
                <w:lang w:val="ro-RO"/>
              </w:rPr>
              <w:t xml:space="preserve"> fluviale și maritime, șalande, macarale autopropulsate și nepropulsate, șlepuri, ceamuri, remorchere portuare și pilotine; </w:t>
            </w:r>
          </w:p>
          <w:p w:rsidR="00A2560E" w:rsidRDefault="00A15547">
            <w:pPr>
              <w:spacing w:after="0" w:line="240" w:lineRule="auto"/>
              <w:jc w:val="both"/>
              <w:rPr>
                <w:rFonts w:ascii="Trebuchet MS" w:hAnsi="Trebuchet MS"/>
                <w:lang w:val="ro-RO"/>
              </w:rPr>
            </w:pPr>
            <w:r>
              <w:rPr>
                <w:rFonts w:ascii="Trebuchet MS" w:hAnsi="Trebuchet MS"/>
                <w:lang w:val="ro-RO"/>
              </w:rPr>
              <w:t xml:space="preserve">-50,03 lei/zi pentru personalul ambarcat pe restul navelor și corpurilor plutitoare nespecificate mai sus, nave de orice categorie, pe timpul cât sunt în conservare, pe timpul iernatului, pe timpul construcției și reconstrucției în țară;  </w:t>
            </w:r>
          </w:p>
          <w:p w:rsidR="00A2560E" w:rsidRDefault="00A15547">
            <w:pPr>
              <w:spacing w:after="0" w:line="240" w:lineRule="auto"/>
              <w:jc w:val="both"/>
              <w:rPr>
                <w:rFonts w:ascii="Trebuchet MS" w:hAnsi="Trebuchet MS"/>
                <w:lang w:val="ro-RO"/>
              </w:rPr>
            </w:pPr>
            <w:r>
              <w:rPr>
                <w:rFonts w:ascii="Trebuchet MS" w:hAnsi="Trebuchet MS"/>
                <w:lang w:val="ro-RO"/>
              </w:rPr>
              <w:t>-60,67 lei/zi pentru scafandri.</w:t>
            </w:r>
          </w:p>
          <w:p w:rsidR="00A2560E" w:rsidRDefault="00A15547">
            <w:pPr>
              <w:spacing w:after="0" w:line="240" w:lineRule="auto"/>
              <w:jc w:val="both"/>
              <w:rPr>
                <w:rFonts w:ascii="Trebuchet MS" w:hAnsi="Trebuchet MS"/>
                <w:lang w:val="ro-RO"/>
              </w:rPr>
            </w:pPr>
            <w:r>
              <w:rPr>
                <w:rFonts w:ascii="Trebuchet MS" w:hAnsi="Trebuchet MS"/>
                <w:lang w:val="ro-RO"/>
              </w:rPr>
              <w:t xml:space="preserve"> În conformitate cu prevederile Legii nr. 165/2018 privind acordarea biletelor de valoare, salariații de la uscat  primesc o alocație individuală de hrană sub forma tichetelor de masă. Valoarea tichetului de masă, în luna  iunie 2022 era de 20 lei, iar conform Legii nr.187/2022 pentru modificarea art.14 din Legea nr.165/2018 privind acordarea biletelor de valoare, valoarea tichetului de masă a fost majorată la 30 lei începând cu luna iulie 2022.</w:t>
            </w:r>
          </w:p>
          <w:p w:rsidR="00A2560E" w:rsidRDefault="00A15547">
            <w:pPr>
              <w:spacing w:after="0" w:line="240" w:lineRule="auto"/>
              <w:jc w:val="both"/>
              <w:rPr>
                <w:rFonts w:ascii="Trebuchet MS" w:hAnsi="Trebuchet MS"/>
                <w:lang w:val="ro-RO"/>
              </w:rPr>
            </w:pPr>
            <w:r>
              <w:rPr>
                <w:rFonts w:ascii="Trebuchet MS" w:hAnsi="Trebuchet MS"/>
                <w:lang w:val="ro-RO"/>
              </w:rPr>
              <w:t xml:space="preserve"> Prin similitudine cu drepturile salariaților de la uscat ce primesc tichete de masă, este imperios necesar ca și valoarea alocației de hrană să fie </w:t>
            </w:r>
            <w:r>
              <w:rPr>
                <w:rFonts w:ascii="Trebuchet MS" w:hAnsi="Trebuchet MS"/>
                <w:lang w:val="ro-RO"/>
              </w:rPr>
              <w:lastRenderedPageBreak/>
              <w:t>majorată cu același procentaj cu care a fost majorată valoarea tichetului de masă. Se poate observa că valoarea tichetului de masă a fost majorată începând cu 1 iulie 2022  cu un procent de 50%.</w:t>
            </w:r>
          </w:p>
          <w:p w:rsidR="00A2560E" w:rsidRDefault="00A15547">
            <w:pPr>
              <w:spacing w:after="0" w:line="240" w:lineRule="auto"/>
              <w:jc w:val="both"/>
              <w:rPr>
                <w:rFonts w:ascii="Trebuchet MS" w:hAnsi="Trebuchet MS"/>
                <w:lang w:val="ro-RO"/>
              </w:rPr>
            </w:pPr>
            <w:r>
              <w:rPr>
                <w:rFonts w:ascii="Trebuchet MS" w:hAnsi="Trebuchet MS"/>
                <w:lang w:val="ro-RO"/>
              </w:rPr>
              <w:t xml:space="preserve">  Pentru asigurarea numărului de calorii prevăzut în anexa nr.1 la Hotărârea de Guvern nr.185/1994, cu modificările și completările ulterioare, este necesară actualizarea valorii alocației de hrană zilnice cu același algoritm de calcul ce a fost aplicat la majorarea tichetelor de masă.  </w:t>
            </w:r>
          </w:p>
        </w:tc>
      </w:tr>
      <w:tr w:rsidR="00A2560E">
        <w:trPr>
          <w:trHeight w:val="620"/>
        </w:trPr>
        <w:tc>
          <w:tcPr>
            <w:tcW w:w="1885" w:type="dxa"/>
            <w:tcBorders>
              <w:top w:val="single" w:sz="4" w:space="0" w:color="auto"/>
              <w:bottom w:val="single" w:sz="4" w:space="0" w:color="auto"/>
              <w:right w:val="single" w:sz="4" w:space="0" w:color="auto"/>
            </w:tcBorders>
          </w:tcPr>
          <w:p w:rsidR="00A2560E" w:rsidRDefault="00A15547">
            <w:pPr>
              <w:spacing w:after="0" w:line="240" w:lineRule="auto"/>
              <w:ind w:right="12"/>
              <w:rPr>
                <w:rFonts w:ascii="Trebuchet MS" w:hAnsi="Trebuchet MS"/>
                <w:lang w:val="ro-RO"/>
              </w:rPr>
            </w:pPr>
            <w:r>
              <w:rPr>
                <w:rFonts w:ascii="Trebuchet MS" w:hAnsi="Trebuchet MS"/>
                <w:lang w:val="ro-RO"/>
              </w:rPr>
              <w:lastRenderedPageBreak/>
              <w:t>2.3. Schimbări preconizate</w:t>
            </w:r>
          </w:p>
        </w:tc>
        <w:tc>
          <w:tcPr>
            <w:tcW w:w="7375" w:type="dxa"/>
            <w:tcBorders>
              <w:top w:val="single" w:sz="4" w:space="0" w:color="auto"/>
              <w:left w:val="single" w:sz="4" w:space="0" w:color="auto"/>
              <w:bottom w:val="single" w:sz="4" w:space="0" w:color="auto"/>
            </w:tcBorders>
            <w:shd w:val="clear" w:color="auto" w:fill="auto"/>
          </w:tcPr>
          <w:p w:rsidR="00A2560E" w:rsidRDefault="00A15547">
            <w:pPr>
              <w:spacing w:after="0" w:line="240" w:lineRule="auto"/>
              <w:jc w:val="both"/>
              <w:rPr>
                <w:rFonts w:ascii="Trebuchet MS" w:hAnsi="Trebuchet MS"/>
                <w:lang w:val="ro-RO"/>
              </w:rPr>
            </w:pPr>
            <w:r>
              <w:rPr>
                <w:rFonts w:ascii="Trebuchet MS" w:hAnsi="Trebuchet MS"/>
                <w:bCs/>
                <w:lang w:val="ro-RO" w:eastAsia="ro-RO"/>
              </w:rPr>
              <w:t xml:space="preserve"> </w:t>
            </w:r>
            <w:r>
              <w:rPr>
                <w:rFonts w:ascii="Trebuchet MS" w:hAnsi="Trebuchet MS"/>
                <w:lang w:val="ro-RO"/>
              </w:rPr>
              <w:t xml:space="preserve"> Alocația de hrană urmează să devină:</w:t>
            </w:r>
          </w:p>
          <w:p w:rsidR="00A2560E" w:rsidRDefault="00A15547">
            <w:pPr>
              <w:spacing w:after="0" w:line="240" w:lineRule="auto"/>
              <w:jc w:val="both"/>
              <w:rPr>
                <w:rFonts w:ascii="Trebuchet MS" w:hAnsi="Trebuchet MS"/>
                <w:lang w:val="ro-RO"/>
              </w:rPr>
            </w:pPr>
            <w:r>
              <w:rPr>
                <w:rFonts w:ascii="Trebuchet MS" w:hAnsi="Trebuchet MS"/>
                <w:lang w:val="ro-RO"/>
              </w:rPr>
              <w:t xml:space="preserve">       - 84,12 lei/zi pentru personalul ambarcat pe nave maritime de transport de mărfuri și de pasageri, nave maritime de cercetare, tancuri petroliere, de transport fluvial, platforme de foraj și extracție maritime, nave de pescuit maritime, nave fluviale cu propulsie de transport de mărfuri și de pasageri, tancuri propulsate de bunkeraj, dr</w:t>
            </w:r>
            <w:r w:rsidR="004217F3">
              <w:rPr>
                <w:rFonts w:ascii="Trebuchet MS" w:hAnsi="Trebuchet MS"/>
                <w:lang w:val="ro-RO"/>
              </w:rPr>
              <w:t>age</w:t>
            </w:r>
            <w:r>
              <w:rPr>
                <w:rFonts w:ascii="Trebuchet MS" w:hAnsi="Trebuchet MS"/>
                <w:lang w:val="ro-RO"/>
              </w:rPr>
              <w:t xml:space="preserve"> fluviale și maritime, șalande, macarale autopropulsate și nepropulsate, șlepuri, ceamuri, remorchere portuare și pilotine;</w:t>
            </w:r>
          </w:p>
          <w:p w:rsidR="00A2560E" w:rsidRDefault="00A15547">
            <w:pPr>
              <w:spacing w:after="0" w:line="240" w:lineRule="auto"/>
              <w:jc w:val="both"/>
              <w:rPr>
                <w:rFonts w:ascii="Trebuchet MS" w:hAnsi="Trebuchet MS"/>
                <w:lang w:val="ro-RO"/>
              </w:rPr>
            </w:pPr>
            <w:r>
              <w:rPr>
                <w:rFonts w:ascii="Trebuchet MS" w:hAnsi="Trebuchet MS"/>
                <w:lang w:val="ro-RO"/>
              </w:rPr>
              <w:t xml:space="preserve">       - 75,05 lei/zi pentru personalul ambarcat pe restul navelor și corpurilor plutitoare nespecificate mai sus, nave de orice categorie, pe timpul cât sunt în conservare, pe timpul iernatului, pe timpul construcției și reconstrucției în țară </w:t>
            </w:r>
          </w:p>
          <w:p w:rsidR="00A2560E" w:rsidRDefault="00A15547">
            <w:pPr>
              <w:autoSpaceDE w:val="0"/>
              <w:autoSpaceDN w:val="0"/>
              <w:adjustRightInd w:val="0"/>
              <w:spacing w:after="0" w:line="240" w:lineRule="auto"/>
              <w:jc w:val="both"/>
              <w:rPr>
                <w:rFonts w:ascii="Trebuchet MS" w:hAnsi="Trebuchet MS"/>
                <w:bCs/>
                <w:lang w:val="ro-RO" w:eastAsia="ro-RO"/>
              </w:rPr>
            </w:pPr>
            <w:r>
              <w:rPr>
                <w:rFonts w:ascii="Trebuchet MS" w:hAnsi="Trebuchet MS"/>
                <w:lang w:val="ro-RO"/>
              </w:rPr>
              <w:t xml:space="preserve">       -  91,01 lei/zi pentru scafandri.</w:t>
            </w:r>
          </w:p>
        </w:tc>
      </w:tr>
      <w:tr w:rsidR="00A2560E">
        <w:trPr>
          <w:trHeight w:val="737"/>
        </w:trPr>
        <w:tc>
          <w:tcPr>
            <w:tcW w:w="1885"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2.4. Alte informații</w:t>
            </w:r>
          </w:p>
        </w:tc>
        <w:tc>
          <w:tcPr>
            <w:tcW w:w="7375" w:type="dxa"/>
            <w:tcBorders>
              <w:top w:val="single" w:sz="4" w:space="0" w:color="auto"/>
              <w:left w:val="single" w:sz="4" w:space="0" w:color="auto"/>
              <w:bottom w:val="single" w:sz="4" w:space="0" w:color="auto"/>
            </w:tcBorders>
          </w:tcPr>
          <w:p w:rsidR="00A2560E" w:rsidRDefault="00A15547">
            <w:pPr>
              <w:spacing w:after="120" w:line="240" w:lineRule="auto"/>
              <w:jc w:val="both"/>
              <w:rPr>
                <w:rFonts w:ascii="Trebuchet MS" w:hAnsi="Trebuchet MS"/>
                <w:lang w:val="ro-RO"/>
              </w:rPr>
            </w:pPr>
            <w:r>
              <w:rPr>
                <w:rFonts w:ascii="Trebuchet MS" w:hAnsi="Trebuchet MS"/>
                <w:lang w:val="ro-RO"/>
              </w:rPr>
              <w:t xml:space="preserve">În conformitate cu art.4 din HG nr. 185/1994 privind acordarea alocației de hrană zilnice pentru personalul navigant și auxiliar îmbarcat pe nave, la regiile autonome și societățile comerciale cu capital majoritar de stat, alocația zilnică de hrană se acordă, diferențiat, în limita numărului de calorii stabilit potrivit prevederilor anexei nr. 1 la prezenta hotărâre, iar cuantumul în lei al acesteia se negociază în cadrul Contractului colectiv de muncă. Navele ARSVOM nu au normat post de bucătar, iar la bordul acestora nu există condiții de pregătit hrană caldă. </w:t>
            </w:r>
          </w:p>
        </w:tc>
      </w:tr>
    </w:tbl>
    <w:p w:rsidR="00A2560E" w:rsidRDefault="00A2560E">
      <w:pPr>
        <w:spacing w:after="0" w:line="240" w:lineRule="auto"/>
        <w:jc w:val="center"/>
        <w:rPr>
          <w:rFonts w:ascii="Times New Roman" w:hAnsi="Times New Roman"/>
          <w:b/>
          <w:bCs/>
          <w:sz w:val="16"/>
          <w:szCs w:val="16"/>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3-a</w:t>
      </w:r>
    </w:p>
    <w:p w:rsidR="00A2560E" w:rsidRDefault="00A15547">
      <w:pPr>
        <w:spacing w:after="0" w:line="240" w:lineRule="auto"/>
        <w:jc w:val="center"/>
        <w:rPr>
          <w:rFonts w:ascii="Trebuchet MS" w:hAnsi="Trebuchet MS"/>
          <w:b/>
          <w:bCs/>
          <w:lang w:val="ro-RO"/>
        </w:rPr>
      </w:pPr>
      <w:r>
        <w:rPr>
          <w:rFonts w:ascii="Trebuchet MS" w:hAnsi="Trebuchet MS"/>
          <w:b/>
          <w:bCs/>
          <w:lang w:val="ro-RO"/>
        </w:rPr>
        <w:t>Impactul socioeconomic</w:t>
      </w:r>
    </w:p>
    <w:p w:rsidR="00A2560E" w:rsidRDefault="00A2560E">
      <w:pPr>
        <w:spacing w:after="0" w:line="240" w:lineRule="auto"/>
        <w:jc w:val="center"/>
        <w:rPr>
          <w:rFonts w:ascii="Trebuchet MS" w:hAnsi="Trebuchet MS"/>
          <w:b/>
          <w:bCs/>
          <w:sz w:val="10"/>
          <w:szCs w:val="10"/>
          <w:lang w:val="ro-RO"/>
        </w:rPr>
      </w:pPr>
    </w:p>
    <w:tbl>
      <w:tblPr>
        <w:tblW w:w="9473" w:type="dxa"/>
        <w:tblInd w:w="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67"/>
        <w:gridCol w:w="5906"/>
      </w:tblGrid>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3.1. Descrierea generală a beneficiilor și costurilor estimate ca urmare a intrării în vigoare a actului normativ</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Principalul beneficiu al intrării în vigoare a actului normativ este creșterea calității vieții personalului navigant și auxiliar îmbarcat pe nave</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3.2. Impactul social</w:t>
            </w:r>
          </w:p>
        </w:tc>
        <w:tc>
          <w:tcPr>
            <w:tcW w:w="5906" w:type="dxa"/>
            <w:tcBorders>
              <w:top w:val="single" w:sz="4" w:space="0" w:color="auto"/>
              <w:left w:val="single" w:sz="4" w:space="0" w:color="auto"/>
              <w:bottom w:val="single" w:sz="4" w:space="0" w:color="auto"/>
            </w:tcBorders>
          </w:tcPr>
          <w:p w:rsidR="00A2560E" w:rsidRDefault="00A15547">
            <w:pPr>
              <w:spacing w:line="240" w:lineRule="auto"/>
              <w:jc w:val="both"/>
              <w:rPr>
                <w:rFonts w:ascii="Trebuchet MS" w:hAnsi="Trebuchet MS"/>
                <w:lang w:val="ro-RO"/>
              </w:rPr>
            </w:pPr>
            <w:r>
              <w:rPr>
                <w:rFonts w:ascii="Trebuchet MS" w:hAnsi="Trebuchet MS"/>
                <w:lang w:val="ro-RO"/>
              </w:rPr>
              <w:t>Odată cu creșterea indicelui de inflație la produsele de bază, puterea de cumpărare a salariaților a scăzut. Alinierea alocației de hrană la prețul actual, va duce la creșterea calității vieții personalului navigant.</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3.3. Impactul asupra drepturilor și libertăților fundamentale ale omului</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are impact în acest domeniu</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3.4. Impactul macroeconomic</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Alocația de hrană acordată reprezintă 6,92% din cheltuiala materială și 3,68% din întreg bugetul ARSVOM Constanța. Creșterea alocației de hrană cu 50%  influențează puțin bugetul unității, aceasta reprezentând 6,92% din cheltuielile materiale și 3,68% din întreg bugetul ARSVOM Constanța, adică de la o alocație de hrană de 1.336 mii lei/an va fi o creștere la 2.056 mii lei/an.</w:t>
            </w:r>
          </w:p>
        </w:tc>
      </w:tr>
      <w:tr w:rsidR="00A2560E">
        <w:trPr>
          <w:trHeight w:val="515"/>
        </w:trPr>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3.4.1. Impactul asupra economiei și asupra principalilor indicatori macroeconomici</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are impact în acest domeniu</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lastRenderedPageBreak/>
              <w:t> 3.4.2. Impactul asupra mediului concurențial și domeniul ajutoarelor de stat</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are impact în acest domeniu</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3.5. Impactul asupra mediului de afaceri</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influențează major mediul de afaceri al unității, deoarece, această creștere a alocației de hrană nu reprezintă un efort financiar mare</w:t>
            </w:r>
          </w:p>
          <w:p w:rsidR="00A2560E" w:rsidRDefault="00A2560E">
            <w:pPr>
              <w:spacing w:after="0" w:line="240" w:lineRule="auto"/>
              <w:jc w:val="both"/>
              <w:rPr>
                <w:rFonts w:ascii="Trebuchet MS" w:hAnsi="Trebuchet MS"/>
                <w:lang w:val="ro-RO"/>
              </w:rPr>
            </w:pP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3.6. Impactul asupra mediului înconjurător</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produce impact asupra mediului</w:t>
            </w:r>
          </w:p>
          <w:p w:rsidR="00A2560E" w:rsidRDefault="00A2560E">
            <w:pPr>
              <w:spacing w:after="0" w:line="240" w:lineRule="auto"/>
              <w:jc w:val="both"/>
              <w:rPr>
                <w:rFonts w:ascii="Trebuchet MS" w:hAnsi="Trebuchet MS"/>
                <w:lang w:val="ro-RO"/>
              </w:rPr>
            </w:pP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3.7. Evaluarea costurilor și beneficiilor din perspectiva inovării și digitalizării</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are impact în acest domeniu</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3.8.Evaluarea costurilor și beneficiilor din perspectiva dezvoltării durabile</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are impact în acest domeniu</w:t>
            </w:r>
          </w:p>
        </w:tc>
      </w:tr>
      <w:tr w:rsidR="00A2560E">
        <w:tc>
          <w:tcPr>
            <w:tcW w:w="3567"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3.9. Alte informații</w:t>
            </w:r>
          </w:p>
        </w:tc>
        <w:tc>
          <w:tcPr>
            <w:tcW w:w="5906"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au fost identificate</w:t>
            </w:r>
          </w:p>
        </w:tc>
      </w:tr>
    </w:tbl>
    <w:p w:rsidR="00A2560E" w:rsidRDefault="00A2560E">
      <w:pPr>
        <w:spacing w:after="0" w:line="240" w:lineRule="auto"/>
        <w:jc w:val="center"/>
        <w:rPr>
          <w:rFonts w:ascii="Times New Roman" w:hAnsi="Times New Roman"/>
          <w:b/>
          <w:bCs/>
          <w:sz w:val="10"/>
          <w:szCs w:val="10"/>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4-a</w:t>
      </w:r>
    </w:p>
    <w:p w:rsidR="00A2560E" w:rsidRDefault="00A15547">
      <w:pPr>
        <w:spacing w:after="120" w:line="240" w:lineRule="auto"/>
        <w:jc w:val="center"/>
        <w:rPr>
          <w:rFonts w:ascii="Trebuchet MS" w:hAnsi="Trebuchet MS"/>
          <w:b/>
          <w:lang w:val="ro-RO"/>
        </w:rPr>
      </w:pPr>
      <w:r>
        <w:rPr>
          <w:rFonts w:ascii="Trebuchet MS" w:hAnsi="Trebuchet MS"/>
          <w:b/>
          <w:lang w:val="ro-RO"/>
        </w:rPr>
        <w:t>Impactul financiar asupra bugetului general consolidat atât pe termen scurt, pentru anul curent, cât și pe termen lung (pe 5 ani), inclusiv informații cu privire la cheltuieli și venituri</w:t>
      </w:r>
    </w:p>
    <w:tbl>
      <w:tblPr>
        <w:tblW w:w="9498" w:type="dxa"/>
        <w:jc w:val="center"/>
        <w:tblLayout w:type="fixed"/>
        <w:tblCellMar>
          <w:top w:w="15" w:type="dxa"/>
          <w:left w:w="15" w:type="dxa"/>
          <w:bottom w:w="15" w:type="dxa"/>
          <w:right w:w="15" w:type="dxa"/>
        </w:tblCellMar>
        <w:tblLook w:val="04A0" w:firstRow="1" w:lastRow="0" w:firstColumn="1" w:lastColumn="0" w:noHBand="0" w:noVBand="1"/>
      </w:tblPr>
      <w:tblGrid>
        <w:gridCol w:w="28"/>
        <w:gridCol w:w="4490"/>
        <w:gridCol w:w="789"/>
        <w:gridCol w:w="871"/>
        <w:gridCol w:w="824"/>
        <w:gridCol w:w="764"/>
        <w:gridCol w:w="734"/>
        <w:gridCol w:w="998"/>
      </w:tblGrid>
      <w:tr w:rsidR="00A2560E">
        <w:trPr>
          <w:trHeight w:val="1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rPr>
                <w:rFonts w:ascii="Times New Roman" w:hAnsi="Times New Roman"/>
                <w:sz w:val="23"/>
                <w:szCs w:val="23"/>
                <w:lang w:val="ro-RO" w:eastAsia="ro-RO"/>
              </w:rPr>
            </w:pPr>
          </w:p>
        </w:tc>
        <w:tc>
          <w:tcPr>
            <w:tcW w:w="4498"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790"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872"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825"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765"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735"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999" w:type="dxa"/>
            <w:tcBorders>
              <w:top w:val="nil"/>
              <w:left w:val="nil"/>
              <w:bottom w:val="nil"/>
              <w:right w:val="nil"/>
            </w:tcBorders>
            <w:tcMar>
              <w:top w:w="0" w:type="dxa"/>
              <w:left w:w="45" w:type="dxa"/>
              <w:bottom w:w="0" w:type="dxa"/>
              <w:right w:w="45" w:type="dxa"/>
            </w:tcMar>
            <w:vAlign w:val="center"/>
          </w:tcPr>
          <w:p w:rsidR="00A2560E" w:rsidRDefault="00A2560E">
            <w:pPr>
              <w:spacing w:after="0" w:line="240" w:lineRule="auto"/>
              <w:jc w:val="both"/>
              <w:rPr>
                <w:rFonts w:ascii="Times New Roman" w:hAnsi="Times New Roman"/>
                <w:sz w:val="23"/>
                <w:szCs w:val="23"/>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both"/>
              <w:rPr>
                <w:rFonts w:ascii="Times New Roman" w:hAnsi="Times New Roman"/>
                <w:sz w:val="23"/>
                <w:szCs w:val="23"/>
                <w:lang w:val="ro-RO" w:eastAsia="ro-RO"/>
              </w:rPr>
            </w:pPr>
          </w:p>
        </w:tc>
        <w:tc>
          <w:tcPr>
            <w:tcW w:w="9484"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A2560E" w:rsidRDefault="00A15547">
            <w:pPr>
              <w:spacing w:after="0" w:line="240" w:lineRule="auto"/>
              <w:jc w:val="right"/>
              <w:rPr>
                <w:rFonts w:ascii="Trebuchet MS" w:hAnsi="Trebuchet MS"/>
                <w:lang w:val="ro-RO" w:eastAsia="ro-RO"/>
              </w:rPr>
            </w:pPr>
            <w:r>
              <w:rPr>
                <w:rFonts w:ascii="Trebuchet MS" w:hAnsi="Trebuchet MS"/>
                <w:lang w:val="ro-RO" w:eastAsia="ro-RO"/>
              </w:rPr>
              <w:t>- în mii lei (RON) -</w:t>
            </w:r>
          </w:p>
        </w:tc>
      </w:tr>
      <w:tr w:rsidR="00A2560E">
        <w:trPr>
          <w:trHeight w:val="55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right"/>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Indicatori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Anul curent</w:t>
            </w:r>
          </w:p>
        </w:tc>
        <w:tc>
          <w:tcPr>
            <w:tcW w:w="3197"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Următorii patru ani</w:t>
            </w: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Media pe cinci ani</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1</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2</w:t>
            </w: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3</w:t>
            </w: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4</w:t>
            </w: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5</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6</w:t>
            </w: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7</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202</w:t>
            </w:r>
            <w:r>
              <w:rPr>
                <w:rFonts w:ascii="Trebuchet MS" w:hAnsi="Trebuchet MS"/>
                <w:lang w:eastAsia="ro-RO"/>
              </w:rPr>
              <w:t>3</w:t>
            </w: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202</w:t>
            </w:r>
            <w:r>
              <w:rPr>
                <w:rFonts w:ascii="Trebuchet MS" w:hAnsi="Trebuchet MS"/>
                <w:lang w:eastAsia="ro-RO"/>
              </w:rPr>
              <w:t>4</w:t>
            </w: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202</w:t>
            </w:r>
            <w:r>
              <w:rPr>
                <w:rFonts w:ascii="Trebuchet MS" w:hAnsi="Trebuchet MS"/>
                <w:lang w:eastAsia="ro-RO"/>
              </w:rPr>
              <w:t>5</w:t>
            </w: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202</w:t>
            </w:r>
            <w:r>
              <w:rPr>
                <w:rFonts w:ascii="Trebuchet MS" w:hAnsi="Trebuchet MS"/>
                <w:lang w:eastAsia="ro-RO"/>
              </w:rPr>
              <w:t>6</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202</w:t>
            </w:r>
            <w:r>
              <w:rPr>
                <w:rFonts w:ascii="Trebuchet MS" w:hAnsi="Trebuchet MS"/>
                <w:lang w:eastAsia="ro-RO"/>
              </w:rPr>
              <w:t>7</w:t>
            </w: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4.1. Modificări ale veniturilor bugetare, plus/minus, din care:</w:t>
            </w:r>
          </w:p>
        </w:tc>
        <w:tc>
          <w:tcPr>
            <w:tcW w:w="790"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val="ro-RO" w:eastAsia="ro-RO"/>
              </w:rPr>
            </w:pPr>
            <w:r>
              <w:rPr>
                <w:rFonts w:ascii="Trebuchet MS" w:hAnsi="Trebuchet MS"/>
                <w:lang w:val="ro-RO" w:eastAsia="ro-RO"/>
              </w:rPr>
              <w:t>0</w:t>
            </w:r>
          </w:p>
        </w:tc>
        <w:tc>
          <w:tcPr>
            <w:tcW w:w="872"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 de stat, din acesta:</w:t>
            </w:r>
            <w:r>
              <w:rPr>
                <w:rFonts w:ascii="Trebuchet MS" w:hAnsi="Trebuchet MS"/>
                <w:lang w:val="ro-RO" w:eastAsia="ro-RO"/>
              </w:rPr>
              <w:br/>
              <w:t>1. impozit pe profit</w:t>
            </w:r>
            <w:r>
              <w:rPr>
                <w:rFonts w:ascii="Trebuchet MS" w:hAnsi="Trebuchet MS"/>
                <w:lang w:val="ro-RO" w:eastAsia="ro-RO"/>
              </w:rPr>
              <w:br/>
              <w:t>2. impozit pe venit</w:t>
            </w:r>
          </w:p>
        </w:tc>
        <w:tc>
          <w:tcPr>
            <w:tcW w:w="790"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bugete locale</w:t>
            </w:r>
            <w:r>
              <w:rPr>
                <w:rFonts w:ascii="Trebuchet MS" w:hAnsi="Trebuchet MS"/>
                <w:lang w:val="ro-RO" w:eastAsia="ro-RO"/>
              </w:rPr>
              <w:br/>
              <w:t>1. impozit pe profit</w:t>
            </w:r>
          </w:p>
        </w:tc>
        <w:tc>
          <w:tcPr>
            <w:tcW w:w="790"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bugetul asigurărilor sociale de stat:</w:t>
            </w:r>
            <w:r>
              <w:rPr>
                <w:rFonts w:ascii="Trebuchet MS" w:hAnsi="Trebuchet MS"/>
                <w:lang w:val="ro-RO" w:eastAsia="ro-RO"/>
              </w:rPr>
              <w:br/>
              <w:t>1. contribuții de asigurări</w:t>
            </w:r>
          </w:p>
        </w:tc>
        <w:tc>
          <w:tcPr>
            <w:tcW w:w="790"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d) alte tipuri de venituri</w:t>
            </w:r>
            <w:r>
              <w:rPr>
                <w:rFonts w:ascii="Trebuchet MS" w:hAnsi="Trebuchet MS"/>
                <w:lang w:val="ro-RO" w:eastAsia="ro-RO"/>
              </w:rPr>
              <w:br/>
              <w:t>(Se va menționa natura acestora.)</w:t>
            </w:r>
          </w:p>
        </w:tc>
        <w:tc>
          <w:tcPr>
            <w:tcW w:w="790" w:type="dxa"/>
            <w:vMerge/>
            <w:tcBorders>
              <w:left w:val="single" w:sz="6" w:space="0" w:color="auto"/>
              <w:bottom w:val="single" w:sz="4"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4.2. Modificări ale cheltuielilor bugetare, plus/minus, din care:</w:t>
            </w:r>
          </w:p>
        </w:tc>
        <w:tc>
          <w:tcPr>
            <w:tcW w:w="79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eastAsia="ro-RO"/>
              </w:rPr>
              <w:t>+720</w:t>
            </w:r>
          </w:p>
        </w:tc>
        <w:tc>
          <w:tcPr>
            <w:tcW w:w="872" w:type="dxa"/>
            <w:tcBorders>
              <w:top w:val="single" w:sz="6" w:space="0" w:color="auto"/>
              <w:left w:val="single" w:sz="4"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eastAsia="ro-RO"/>
              </w:rPr>
            </w:pPr>
            <w:r>
              <w:rPr>
                <w:rFonts w:ascii="Trebuchet MS" w:hAnsi="Trebuchet MS"/>
                <w:lang w:val="ro-RO" w:eastAsia="ro-RO"/>
              </w:rPr>
              <w:t xml:space="preserve">+ </w:t>
            </w:r>
            <w:r>
              <w:rPr>
                <w:rFonts w:ascii="Trebuchet MS" w:hAnsi="Trebuchet MS"/>
                <w:lang w:eastAsia="ro-RO"/>
              </w:rPr>
              <w:t>1253</w:t>
            </w:r>
          </w:p>
        </w:tc>
        <w:tc>
          <w:tcPr>
            <w:tcW w:w="825" w:type="dxa"/>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1253</w:t>
            </w:r>
          </w:p>
        </w:tc>
        <w:tc>
          <w:tcPr>
            <w:tcW w:w="765" w:type="dxa"/>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735" w:type="dxa"/>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1253</w:t>
            </w:r>
          </w:p>
        </w:tc>
        <w:tc>
          <w:tcPr>
            <w:tcW w:w="999" w:type="dxa"/>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1146,4</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 de stat, din acesta:</w:t>
            </w:r>
            <w:r>
              <w:rPr>
                <w:rFonts w:ascii="Trebuchet MS" w:hAnsi="Trebuchet MS"/>
                <w:lang w:val="ro-RO" w:eastAsia="ro-RO"/>
              </w:rPr>
              <w:br/>
              <w:t>1. cheltuieli de personal</w:t>
            </w:r>
            <w:r>
              <w:rPr>
                <w:rFonts w:ascii="Trebuchet MS" w:hAnsi="Trebuchet MS"/>
                <w:lang w:val="ro-RO" w:eastAsia="ro-RO"/>
              </w:rPr>
              <w:br/>
              <w:t>2. bunuri și servicii</w:t>
            </w:r>
          </w:p>
        </w:tc>
        <w:tc>
          <w:tcPr>
            <w:tcW w:w="790" w:type="dxa"/>
            <w:tcBorders>
              <w:left w:val="single" w:sz="4" w:space="0" w:color="auto"/>
              <w:bottom w:val="single" w:sz="4" w:space="0" w:color="auto"/>
              <w:right w:val="single" w:sz="4"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c>
          <w:tcPr>
            <w:tcW w:w="872" w:type="dxa"/>
            <w:tcBorders>
              <w:left w:val="single" w:sz="4"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c>
          <w:tcPr>
            <w:tcW w:w="825" w:type="dxa"/>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c>
          <w:tcPr>
            <w:tcW w:w="765" w:type="dxa"/>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c>
          <w:tcPr>
            <w:tcW w:w="735" w:type="dxa"/>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c>
          <w:tcPr>
            <w:tcW w:w="999" w:type="dxa"/>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strike/>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bugete locale:</w:t>
            </w:r>
            <w:r>
              <w:rPr>
                <w:rFonts w:ascii="Trebuchet MS" w:hAnsi="Trebuchet MS"/>
                <w:lang w:val="ro-RO" w:eastAsia="ro-RO"/>
              </w:rPr>
              <w:br/>
              <w:t>1. cheltuieli de personal</w:t>
            </w:r>
            <w:r>
              <w:rPr>
                <w:rFonts w:ascii="Trebuchet MS" w:hAnsi="Trebuchet MS"/>
                <w:lang w:val="ro-RO" w:eastAsia="ro-RO"/>
              </w:rPr>
              <w:br/>
              <w:t>2. bunuri și servicii</w:t>
            </w:r>
          </w:p>
        </w:tc>
        <w:tc>
          <w:tcPr>
            <w:tcW w:w="790" w:type="dxa"/>
            <w:vMerge w:val="restart"/>
            <w:tcBorders>
              <w:top w:val="single" w:sz="4"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eastAsia="ro-RO"/>
              </w:rPr>
            </w:pPr>
            <w:r>
              <w:rPr>
                <w:rFonts w:ascii="Trebuchet MS" w:hAnsi="Trebuchet MS"/>
                <w:lang w:eastAsia="ro-RO"/>
              </w:rPr>
              <w:t>+720</w:t>
            </w:r>
          </w:p>
        </w:tc>
        <w:tc>
          <w:tcPr>
            <w:tcW w:w="872"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E85378" w:rsidRDefault="00E85378">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val="ro-RO" w:eastAsia="ro-RO"/>
              </w:rPr>
            </w:pPr>
            <w:r>
              <w:rPr>
                <w:rFonts w:ascii="Trebuchet MS" w:hAnsi="Trebuchet MS"/>
                <w:lang w:eastAsia="ro-RO"/>
              </w:rPr>
              <w:t>+1253</w:t>
            </w:r>
          </w:p>
          <w:p w:rsidR="00A2560E" w:rsidRDefault="00A2560E">
            <w:pPr>
              <w:spacing w:after="0" w:line="240" w:lineRule="auto"/>
              <w:jc w:val="center"/>
              <w:rPr>
                <w:rFonts w:ascii="Trebuchet MS" w:hAnsi="Trebuchet MS"/>
                <w:lang w:val="ro-RO" w:eastAsia="ro-RO"/>
              </w:rPr>
            </w:pPr>
          </w:p>
        </w:tc>
        <w:tc>
          <w:tcPr>
            <w:tcW w:w="82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76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735"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999" w:type="dxa"/>
            <w:vMerge w:val="restart"/>
            <w:tcBorders>
              <w:top w:val="single" w:sz="6" w:space="0" w:color="auto"/>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2560E">
            <w:pPr>
              <w:spacing w:after="0" w:line="240" w:lineRule="auto"/>
              <w:jc w:val="center"/>
              <w:rPr>
                <w:rFonts w:ascii="Trebuchet MS" w:hAnsi="Trebuchet MS"/>
                <w:lang w:val="ro-RO" w:eastAsia="ro-RO"/>
              </w:rPr>
            </w:pPr>
          </w:p>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1146,4</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A2560E" w:rsidRDefault="00A15547">
            <w:pPr>
              <w:spacing w:after="0" w:line="240" w:lineRule="auto"/>
              <w:rPr>
                <w:rFonts w:ascii="Trebuchet MS" w:hAnsi="Trebuchet MS"/>
                <w:lang w:val="ro-RO" w:eastAsia="ro-RO"/>
              </w:rPr>
            </w:pPr>
            <w:r>
              <w:rPr>
                <w:rFonts w:ascii="Trebuchet MS" w:hAnsi="Trebuchet MS"/>
                <w:lang w:val="ro-RO" w:eastAsia="ro-RO"/>
              </w:rPr>
              <w:t>1. bugetul asigurărilor sociale de stat:</w:t>
            </w:r>
            <w:r>
              <w:rPr>
                <w:rFonts w:ascii="Trebuchet MS" w:hAnsi="Trebuchet MS"/>
                <w:lang w:val="ro-RO" w:eastAsia="ro-RO"/>
              </w:rPr>
              <w:br/>
              <w:t>1. cheltuieli de personal</w:t>
            </w:r>
            <w:r>
              <w:rPr>
                <w:rFonts w:ascii="Trebuchet MS" w:hAnsi="Trebuchet MS"/>
                <w:lang w:val="ro-RO" w:eastAsia="ro-RO"/>
              </w:rPr>
              <w:br/>
              <w:t>2. bunuri și servicii</w:t>
            </w:r>
          </w:p>
        </w:tc>
        <w:tc>
          <w:tcPr>
            <w:tcW w:w="790"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d) alte tipuri de cheltuieli</w:t>
            </w:r>
            <w:r>
              <w:rPr>
                <w:rFonts w:ascii="Trebuchet MS" w:hAnsi="Trebuchet MS"/>
                <w:lang w:val="ro-RO" w:eastAsia="ro-RO"/>
              </w:rPr>
              <w:br/>
              <w:t>Transferuri între unități ale administrației publice</w:t>
            </w:r>
          </w:p>
        </w:tc>
        <w:tc>
          <w:tcPr>
            <w:tcW w:w="790"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vMerge/>
            <w:tcBorders>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4.3. Impact financiar, plus/minus, din care:</w:t>
            </w:r>
            <w:r>
              <w:rPr>
                <w:rFonts w:ascii="Trebuchet MS" w:hAnsi="Trebuchet MS"/>
                <w:lang w:val="ro-RO" w:eastAsia="ro-RO"/>
              </w:rPr>
              <w:br/>
              <w:t>a) buget de stat</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eastAsia="ro-RO"/>
              </w:rPr>
              <w:t>+720</w:t>
            </w: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1253</w:t>
            </w: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+ 1</w:t>
            </w:r>
            <w:r>
              <w:rPr>
                <w:rFonts w:ascii="Trebuchet MS" w:hAnsi="Trebuchet MS"/>
                <w:lang w:eastAsia="ro-RO"/>
              </w:rPr>
              <w:t>253</w:t>
            </w: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center"/>
              <w:rPr>
                <w:rFonts w:ascii="Trebuchet MS" w:hAnsi="Trebuchet MS"/>
                <w:lang w:eastAsia="ro-RO"/>
              </w:rPr>
            </w:pPr>
            <w:r>
              <w:rPr>
                <w:rFonts w:ascii="Trebuchet MS" w:hAnsi="Trebuchet MS"/>
                <w:lang w:val="ro-RO" w:eastAsia="ro-RO"/>
              </w:rPr>
              <w:t xml:space="preserve">+ </w:t>
            </w:r>
            <w:r>
              <w:rPr>
                <w:rFonts w:ascii="Trebuchet MS" w:hAnsi="Trebuchet MS"/>
                <w:lang w:eastAsia="ro-RO"/>
              </w:rPr>
              <w:t>1146,4</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b) bugete locale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A2560E" w:rsidRDefault="00A15547">
            <w:pPr>
              <w:spacing w:after="0" w:line="240" w:lineRule="auto"/>
              <w:rPr>
                <w:rFonts w:ascii="Trebuchet MS" w:hAnsi="Trebuchet MS"/>
                <w:lang w:val="ro-RO" w:eastAsia="ro-RO"/>
              </w:rPr>
            </w:pPr>
            <w:r>
              <w:rPr>
                <w:rFonts w:ascii="Trebuchet MS" w:hAnsi="Trebuchet MS"/>
                <w:lang w:val="ro-RO" w:eastAsia="ro-RO"/>
              </w:rPr>
              <w:t>4.4. Propuneri pentru acoperirea creșterii cheltuielilor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A2560E" w:rsidRDefault="00A15547">
            <w:pPr>
              <w:spacing w:after="0" w:line="240" w:lineRule="auto"/>
              <w:rPr>
                <w:rFonts w:ascii="Trebuchet MS" w:hAnsi="Trebuchet MS"/>
                <w:lang w:val="ro-RO" w:eastAsia="ro-RO"/>
              </w:rPr>
            </w:pPr>
            <w:r>
              <w:rPr>
                <w:rFonts w:ascii="Trebuchet MS" w:hAnsi="Trebuchet MS"/>
                <w:lang w:val="ro-RO" w:eastAsia="ro-RO"/>
              </w:rPr>
              <w:t>4.5. Propuneri pentru a compensa reducerea veniturilor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jc w:val="both"/>
              <w:rPr>
                <w:rFonts w:ascii="Trebuchet MS" w:hAnsi="Trebuchet MS"/>
                <w:lang w:val="ro-RO" w:eastAsia="ro-RO"/>
              </w:rPr>
            </w:pPr>
            <w:r>
              <w:rPr>
                <w:rFonts w:ascii="Trebuchet MS" w:hAnsi="Trebuchet MS"/>
                <w:lang w:val="ro-RO" w:eastAsia="ro-RO"/>
              </w:rPr>
              <w:t>4.6. Calcule detaliate privind fundamentarea modificărilor veniturilor și/sau cheltuielilor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lang w:val="ro-RO" w:eastAsia="ro-RO"/>
              </w:rPr>
            </w:pP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9484"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 xml:space="preserve">4.7. </w:t>
            </w:r>
            <w:r>
              <w:rPr>
                <w:rFonts w:ascii="Trebuchet MS" w:hAnsi="Trebuchet MS"/>
                <w:lang w:val="ro-RO"/>
              </w:rPr>
              <w:t xml:space="preserve">Punerea în aplicare a prezentei hotărâri nu necesită modificarea cheltuielilor bugetare aprobate </w:t>
            </w:r>
          </w:p>
        </w:tc>
      </w:tr>
      <w:tr w:rsidR="00A2560E">
        <w:trPr>
          <w:trHeight w:val="345"/>
          <w:jc w:val="center"/>
        </w:trPr>
        <w:tc>
          <w:tcPr>
            <w:tcW w:w="14" w:type="dxa"/>
            <w:tcBorders>
              <w:top w:val="nil"/>
              <w:left w:val="nil"/>
              <w:bottom w:val="nil"/>
              <w:right w:val="nil"/>
            </w:tcBorders>
            <w:tcMar>
              <w:top w:w="0" w:type="dxa"/>
              <w:left w:w="0" w:type="dxa"/>
              <w:bottom w:w="0" w:type="dxa"/>
              <w:right w:w="0" w:type="dxa"/>
            </w:tcMar>
            <w:vAlign w:val="center"/>
          </w:tcPr>
          <w:p w:rsidR="00A2560E" w:rsidRDefault="00A2560E">
            <w:pPr>
              <w:spacing w:after="0" w:line="240" w:lineRule="auto"/>
              <w:jc w:val="center"/>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15547">
            <w:pPr>
              <w:spacing w:after="0" w:line="240" w:lineRule="auto"/>
              <w:rPr>
                <w:rFonts w:ascii="Trebuchet MS" w:hAnsi="Trebuchet MS"/>
                <w:lang w:val="ro-RO" w:eastAsia="ro-RO"/>
              </w:rPr>
            </w:pPr>
            <w:r>
              <w:rPr>
                <w:rFonts w:ascii="Trebuchet MS" w:hAnsi="Trebuchet MS"/>
                <w:lang w:val="ro-RO" w:eastAsia="ro-RO"/>
              </w:rPr>
              <w:t>4.8. Alte informații</w:t>
            </w:r>
          </w:p>
          <w:p w:rsidR="00A2560E" w:rsidRDefault="00A2560E">
            <w:pPr>
              <w:spacing w:after="0" w:line="240" w:lineRule="auto"/>
              <w:rPr>
                <w:rFonts w:ascii="Trebuchet MS" w:hAnsi="Trebuchet MS"/>
                <w:lang w:val="ro-RO" w:eastAsia="ro-RO"/>
              </w:rPr>
            </w:pP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c>
          <w:tcPr>
            <w:tcW w:w="8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c>
          <w:tcPr>
            <w:tcW w:w="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c>
          <w:tcPr>
            <w:tcW w:w="99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2560E" w:rsidRDefault="00A2560E">
            <w:pPr>
              <w:spacing w:after="0" w:line="240" w:lineRule="auto"/>
              <w:jc w:val="center"/>
              <w:rPr>
                <w:rFonts w:ascii="Trebuchet MS" w:hAnsi="Trebuchet MS"/>
                <w:color w:val="FF0000"/>
                <w:lang w:val="ro-RO" w:eastAsia="ro-RO"/>
              </w:rPr>
            </w:pPr>
          </w:p>
        </w:tc>
      </w:tr>
    </w:tbl>
    <w:p w:rsidR="00A2560E" w:rsidRDefault="00A2560E">
      <w:pPr>
        <w:spacing w:after="0" w:line="240" w:lineRule="auto"/>
        <w:jc w:val="center"/>
        <w:rPr>
          <w:rFonts w:ascii="Trebuchet MS" w:hAnsi="Trebuchet MS"/>
          <w:b/>
          <w:bCs/>
          <w:sz w:val="28"/>
          <w:szCs w:val="28"/>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5-a</w:t>
      </w:r>
    </w:p>
    <w:p w:rsidR="00A2560E" w:rsidRDefault="00A15547">
      <w:pPr>
        <w:spacing w:after="0" w:line="240" w:lineRule="auto"/>
        <w:jc w:val="center"/>
        <w:rPr>
          <w:rFonts w:ascii="Trebuchet MS" w:hAnsi="Trebuchet MS"/>
          <w:b/>
          <w:bCs/>
          <w:lang w:val="ro-RO"/>
        </w:rPr>
      </w:pPr>
      <w:r>
        <w:rPr>
          <w:rFonts w:ascii="Trebuchet MS" w:hAnsi="Trebuchet MS"/>
          <w:b/>
          <w:bCs/>
          <w:lang w:val="ro-RO"/>
        </w:rPr>
        <w:t>Efectele proiectului de act normativ asupra legislației în vigoare</w:t>
      </w:r>
    </w:p>
    <w:p w:rsidR="00A2560E" w:rsidRDefault="00A2560E">
      <w:pPr>
        <w:spacing w:after="0" w:line="240" w:lineRule="auto"/>
        <w:jc w:val="center"/>
        <w:rPr>
          <w:rFonts w:ascii="Trebuchet MS" w:hAnsi="Trebuchet MS"/>
          <w:b/>
          <w:bCs/>
          <w:sz w:val="28"/>
          <w:szCs w:val="28"/>
          <w:lang w:val="ro-RO"/>
        </w:rPr>
      </w:pP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31"/>
        <w:gridCol w:w="6019"/>
      </w:tblGrid>
      <w:tr w:rsidR="00A2560E">
        <w:tc>
          <w:tcPr>
            <w:tcW w:w="3431"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5.1. Măsuri normative necesare pentru aplicarea prevederilor proiectului de act normativ</w:t>
            </w:r>
          </w:p>
          <w:p w:rsidR="00A2560E" w:rsidRDefault="00A2560E">
            <w:pPr>
              <w:spacing w:after="0" w:line="240" w:lineRule="auto"/>
              <w:rPr>
                <w:rFonts w:ascii="Trebuchet MS" w:hAnsi="Trebuchet MS"/>
                <w:lang w:val="ro-RO"/>
              </w:rPr>
            </w:pPr>
          </w:p>
        </w:tc>
        <w:tc>
          <w:tcPr>
            <w:tcW w:w="6019" w:type="dxa"/>
            <w:tcBorders>
              <w:top w:val="single" w:sz="4" w:space="0" w:color="auto"/>
              <w:left w:val="single" w:sz="4" w:space="0" w:color="auto"/>
              <w:bottom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tabs>
                <w:tab w:val="left" w:pos="342"/>
              </w:tabs>
              <w:spacing w:after="0" w:line="240" w:lineRule="auto"/>
              <w:rPr>
                <w:rFonts w:ascii="Trebuchet MS" w:hAnsi="Trebuchet MS"/>
                <w:lang w:val="ro-RO"/>
              </w:rPr>
            </w:pPr>
            <w:r>
              <w:rPr>
                <w:rFonts w:ascii="Trebuchet MS" w:hAnsi="Trebuchet MS"/>
                <w:lang w:val="ro-RO"/>
              </w:rPr>
              <w:t>5.2. Impactul asupra legislației în domeniul achizițiilor publice</w:t>
            </w:r>
          </w:p>
        </w:tc>
        <w:tc>
          <w:tcPr>
            <w:tcW w:w="6019" w:type="dxa"/>
            <w:tcBorders>
              <w:top w:val="single" w:sz="4" w:space="0" w:color="auto"/>
              <w:left w:val="single" w:sz="4" w:space="0" w:color="auto"/>
              <w:bottom w:val="single" w:sz="4" w:space="0" w:color="auto"/>
            </w:tcBorders>
          </w:tcPr>
          <w:p w:rsidR="00A2560E" w:rsidRDefault="00A15547">
            <w:pPr>
              <w:tabs>
                <w:tab w:val="left" w:pos="1340"/>
              </w:tabs>
              <w:spacing w:line="240" w:lineRule="auto"/>
              <w:rPr>
                <w:rFonts w:ascii="Trebuchet MS" w:hAnsi="Trebuchet MS"/>
                <w:lang w:val="ro-RO"/>
              </w:rPr>
            </w:pPr>
            <w:r>
              <w:rPr>
                <w:rFonts w:ascii="Trebuchet MS" w:hAnsi="Trebuchet MS"/>
                <w:lang w:val="ro-RO"/>
              </w:rPr>
              <w:t>Nu este cazul</w:t>
            </w:r>
            <w:r>
              <w:rPr>
                <w:rFonts w:ascii="Trebuchet MS" w:hAnsi="Trebuchet MS"/>
                <w:lang w:val="ro-RO"/>
              </w:rPr>
              <w:tab/>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5.3.  Conformitatea proiectului de act normativ cu legislația UE (în cazul proiectelor ce transpun sau asigură aplicarea unor prevederi de drept UE)</w:t>
            </w:r>
          </w:p>
        </w:tc>
        <w:tc>
          <w:tcPr>
            <w:tcW w:w="6019" w:type="dxa"/>
            <w:tcBorders>
              <w:top w:val="single" w:sz="4" w:space="0" w:color="auto"/>
              <w:left w:val="single" w:sz="4" w:space="0" w:color="auto"/>
              <w:bottom w:val="single" w:sz="4" w:space="0" w:color="auto"/>
            </w:tcBorders>
          </w:tcPr>
          <w:p w:rsidR="00A2560E" w:rsidRDefault="00A15547">
            <w:pPr>
              <w:autoSpaceDE w:val="0"/>
              <w:autoSpaceDN w:val="0"/>
              <w:adjustRightInd w:val="0"/>
              <w:spacing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 5.3.1. Măsuri normative necesare transpunerii directivelor UE</w:t>
            </w:r>
          </w:p>
        </w:tc>
        <w:tc>
          <w:tcPr>
            <w:tcW w:w="6019" w:type="dxa"/>
            <w:tcBorders>
              <w:top w:val="single" w:sz="4" w:space="0" w:color="auto"/>
              <w:left w:val="single" w:sz="4" w:space="0" w:color="auto"/>
              <w:bottom w:val="single" w:sz="4" w:space="0" w:color="auto"/>
            </w:tcBorders>
          </w:tcPr>
          <w:p w:rsidR="00A2560E" w:rsidRDefault="00A15547">
            <w:pPr>
              <w:autoSpaceDE w:val="0"/>
              <w:autoSpaceDN w:val="0"/>
              <w:adjustRightInd w:val="0"/>
              <w:spacing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5.3.2. Măsuri normative necesare aplicării actelor legislative UE</w:t>
            </w:r>
          </w:p>
        </w:tc>
        <w:tc>
          <w:tcPr>
            <w:tcW w:w="6019" w:type="dxa"/>
            <w:tcBorders>
              <w:top w:val="single" w:sz="4" w:space="0" w:color="auto"/>
              <w:left w:val="single" w:sz="4" w:space="0" w:color="auto"/>
              <w:bottom w:val="single" w:sz="4" w:space="0" w:color="auto"/>
            </w:tcBorders>
          </w:tcPr>
          <w:p w:rsidR="00A2560E" w:rsidRDefault="00A15547">
            <w:pPr>
              <w:autoSpaceDE w:val="0"/>
              <w:autoSpaceDN w:val="0"/>
              <w:adjustRightInd w:val="0"/>
              <w:spacing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5.4. Hotărâri ale Curții de Justiție a Uniunii Europene</w:t>
            </w:r>
          </w:p>
        </w:tc>
        <w:tc>
          <w:tcPr>
            <w:tcW w:w="6019" w:type="dxa"/>
            <w:tcBorders>
              <w:top w:val="single" w:sz="4" w:space="0" w:color="auto"/>
              <w:left w:val="single" w:sz="4" w:space="0" w:color="auto"/>
              <w:bottom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5.5. Alte acte normative și/sau documente internaționale din care decurg angajamente asumate</w:t>
            </w:r>
          </w:p>
        </w:tc>
        <w:tc>
          <w:tcPr>
            <w:tcW w:w="6019" w:type="dxa"/>
            <w:tcBorders>
              <w:top w:val="single" w:sz="4" w:space="0" w:color="auto"/>
              <w:left w:val="single" w:sz="4" w:space="0" w:color="auto"/>
              <w:bottom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Nu este cazul</w:t>
            </w:r>
          </w:p>
        </w:tc>
      </w:tr>
      <w:tr w:rsidR="00A2560E">
        <w:tc>
          <w:tcPr>
            <w:tcW w:w="3431" w:type="dxa"/>
            <w:tcBorders>
              <w:top w:val="single" w:sz="4" w:space="0" w:color="auto"/>
              <w:bottom w:val="single" w:sz="4" w:space="0" w:color="auto"/>
              <w:right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5.6. Alte informații</w:t>
            </w:r>
          </w:p>
        </w:tc>
        <w:tc>
          <w:tcPr>
            <w:tcW w:w="6019" w:type="dxa"/>
            <w:tcBorders>
              <w:top w:val="single" w:sz="4" w:space="0" w:color="auto"/>
              <w:left w:val="single" w:sz="4" w:space="0" w:color="auto"/>
              <w:bottom w:val="single" w:sz="4" w:space="0" w:color="auto"/>
            </w:tcBorders>
          </w:tcPr>
          <w:p w:rsidR="00A2560E" w:rsidRDefault="00A15547">
            <w:pPr>
              <w:spacing w:line="240" w:lineRule="auto"/>
              <w:rPr>
                <w:rFonts w:ascii="Trebuchet MS" w:hAnsi="Trebuchet MS"/>
                <w:lang w:val="ro-RO"/>
              </w:rPr>
            </w:pPr>
            <w:r>
              <w:rPr>
                <w:rFonts w:ascii="Trebuchet MS" w:hAnsi="Trebuchet MS"/>
                <w:lang w:val="ro-RO"/>
              </w:rPr>
              <w:t>Nu este cazul</w:t>
            </w:r>
          </w:p>
        </w:tc>
      </w:tr>
    </w:tbl>
    <w:p w:rsidR="00A2560E" w:rsidRDefault="00A2560E">
      <w:pPr>
        <w:spacing w:after="0" w:line="240" w:lineRule="auto"/>
        <w:rPr>
          <w:rFonts w:ascii="Trebuchet MS" w:hAnsi="Trebuchet MS"/>
          <w:b/>
          <w:bCs/>
          <w:sz w:val="28"/>
          <w:szCs w:val="28"/>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6-a</w:t>
      </w:r>
    </w:p>
    <w:p w:rsidR="00A2560E" w:rsidRDefault="00A15547">
      <w:pPr>
        <w:spacing w:after="0" w:line="240" w:lineRule="auto"/>
        <w:jc w:val="center"/>
        <w:rPr>
          <w:rFonts w:ascii="Trebuchet MS" w:hAnsi="Trebuchet MS"/>
          <w:b/>
          <w:bCs/>
          <w:lang w:val="ro-RO"/>
        </w:rPr>
      </w:pPr>
      <w:r>
        <w:rPr>
          <w:rFonts w:ascii="Trebuchet MS" w:hAnsi="Trebuchet MS"/>
          <w:b/>
          <w:bCs/>
          <w:lang w:val="ro-RO"/>
        </w:rPr>
        <w:t>Consultările efectuate în vederea elaborării proiectului de act normativ</w:t>
      </w:r>
    </w:p>
    <w:p w:rsidR="00A2560E" w:rsidRDefault="00A2560E">
      <w:pPr>
        <w:spacing w:after="0" w:line="240" w:lineRule="auto"/>
        <w:jc w:val="center"/>
        <w:rPr>
          <w:rFonts w:ascii="Trebuchet MS" w:hAnsi="Trebuchet MS"/>
          <w:b/>
          <w:bCs/>
          <w:sz w:val="28"/>
          <w:szCs w:val="28"/>
          <w:lang w:val="ro-RO"/>
        </w:rPr>
      </w:pPr>
    </w:p>
    <w:tbl>
      <w:tblPr>
        <w:tblW w:w="9961" w:type="dxa"/>
        <w:tblInd w:w="-1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9"/>
        <w:gridCol w:w="5670"/>
        <w:gridCol w:w="142"/>
      </w:tblGrid>
      <w:tr w:rsidR="00A2560E">
        <w:trPr>
          <w:gridAfter w:val="1"/>
          <w:wAfter w:w="142" w:type="dxa"/>
        </w:trPr>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6.1. Informații privind neaplicarea procedurii de participare la elaborarea actelor normative</w:t>
            </w:r>
          </w:p>
        </w:tc>
        <w:tc>
          <w:tcPr>
            <w:tcW w:w="5670"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tc>
      </w:tr>
      <w:tr w:rsidR="00A2560E">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lastRenderedPageBreak/>
              <w:t>6.2. Informații privind procesul de consultare cu organizații neguvernamentale, institute de cercetare și alte organisme implicate</w:t>
            </w:r>
          </w:p>
        </w:tc>
        <w:tc>
          <w:tcPr>
            <w:tcW w:w="5812" w:type="dxa"/>
            <w:gridSpan w:val="2"/>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a fost afișat pe pagina de internet a Ministerului Transporturilor și Infrastructurii și a fost supus dezbaterilor în Comisia de Dialog Social</w:t>
            </w:r>
          </w:p>
        </w:tc>
      </w:tr>
      <w:tr w:rsidR="00A2560E">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6.3. Informații despre consultările organizate cu autoritățile administrației publice locale</w:t>
            </w:r>
          </w:p>
        </w:tc>
        <w:tc>
          <w:tcPr>
            <w:tcW w:w="5812" w:type="dxa"/>
            <w:gridSpan w:val="2"/>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tc>
      </w:tr>
      <w:tr w:rsidR="00A2560E">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6.4. Informații privind puncte de vedere/opinii emise de organisme consultative constituite prin acte normative</w:t>
            </w:r>
          </w:p>
        </w:tc>
        <w:tc>
          <w:tcPr>
            <w:tcW w:w="5812" w:type="dxa"/>
            <w:gridSpan w:val="2"/>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tc>
      </w:tr>
      <w:tr w:rsidR="00A2560E">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6.5. Informații privind avizarea de către:</w:t>
            </w:r>
            <w:r>
              <w:rPr>
                <w:rFonts w:ascii="Trebuchet MS" w:hAnsi="Trebuchet MS"/>
                <w:lang w:val="ro-RO"/>
              </w:rPr>
              <w:br/>
              <w:t> a) Consiliul Legislativ</w:t>
            </w:r>
            <w:r>
              <w:rPr>
                <w:rFonts w:ascii="Trebuchet MS" w:hAnsi="Trebuchet MS"/>
                <w:lang w:val="ro-RO"/>
              </w:rPr>
              <w:br/>
              <w:t> b) Consiliul Suprem de Apărare a Țării</w:t>
            </w:r>
            <w:r>
              <w:rPr>
                <w:rFonts w:ascii="Trebuchet MS" w:hAnsi="Trebuchet MS"/>
                <w:lang w:val="ro-RO"/>
              </w:rPr>
              <w:br/>
              <w:t> c) Consiliul Economic și Social</w:t>
            </w:r>
            <w:r>
              <w:rPr>
                <w:rFonts w:ascii="Trebuchet MS" w:hAnsi="Trebuchet MS"/>
                <w:lang w:val="ro-RO"/>
              </w:rPr>
              <w:br/>
              <w:t> d) Consiliul Concurenței</w:t>
            </w:r>
            <w:r>
              <w:rPr>
                <w:rFonts w:ascii="Trebuchet MS" w:hAnsi="Trebuchet MS"/>
                <w:lang w:val="ro-RO"/>
              </w:rPr>
              <w:br/>
              <w:t> e) Curtea de Conturi</w:t>
            </w:r>
          </w:p>
        </w:tc>
        <w:tc>
          <w:tcPr>
            <w:tcW w:w="5812" w:type="dxa"/>
            <w:gridSpan w:val="2"/>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va fi avizat de Consiliul Legislativ.</w:t>
            </w:r>
          </w:p>
          <w:p w:rsidR="00A2560E" w:rsidRDefault="00A2560E">
            <w:pPr>
              <w:spacing w:after="0" w:line="240" w:lineRule="auto"/>
              <w:jc w:val="both"/>
              <w:rPr>
                <w:rFonts w:ascii="Trebuchet MS" w:hAnsi="Trebuchet MS"/>
                <w:lang w:val="ro-RO"/>
              </w:rPr>
            </w:pPr>
          </w:p>
          <w:p w:rsidR="00A2560E" w:rsidRDefault="00A15547">
            <w:pPr>
              <w:spacing w:after="0" w:line="240" w:lineRule="auto"/>
              <w:jc w:val="both"/>
              <w:rPr>
                <w:rFonts w:ascii="Trebuchet MS" w:hAnsi="Trebuchet MS"/>
                <w:lang w:val="ro-RO"/>
              </w:rPr>
            </w:pPr>
            <w:r>
              <w:rPr>
                <w:rFonts w:ascii="Trebuchet MS" w:hAnsi="Trebuchet MS"/>
                <w:lang w:val="ro-RO"/>
              </w:rPr>
              <w:t>Proiectul de act normativ va fi avizat de Consiliul Economic și Social.</w:t>
            </w:r>
          </w:p>
          <w:p w:rsidR="00A2560E" w:rsidRDefault="00A2560E">
            <w:pPr>
              <w:spacing w:after="0" w:line="240" w:lineRule="auto"/>
              <w:jc w:val="both"/>
              <w:rPr>
                <w:rFonts w:ascii="Trebuchet MS" w:hAnsi="Trebuchet MS"/>
                <w:lang w:val="ro-RO"/>
              </w:rPr>
            </w:pPr>
          </w:p>
        </w:tc>
      </w:tr>
      <w:tr w:rsidR="00A2560E">
        <w:tc>
          <w:tcPr>
            <w:tcW w:w="4149" w:type="dxa"/>
            <w:tcBorders>
              <w:top w:val="single" w:sz="4" w:space="0" w:color="auto"/>
              <w:bottom w:val="single" w:sz="4" w:space="0" w:color="auto"/>
              <w:right w:val="single" w:sz="4" w:space="0" w:color="auto"/>
            </w:tcBorders>
          </w:tcPr>
          <w:p w:rsidR="00A2560E" w:rsidRDefault="00A15547">
            <w:pPr>
              <w:spacing w:after="0" w:line="240" w:lineRule="auto"/>
              <w:rPr>
                <w:rFonts w:ascii="Trebuchet MS" w:hAnsi="Trebuchet MS"/>
                <w:lang w:val="ro-RO"/>
              </w:rPr>
            </w:pPr>
            <w:r>
              <w:rPr>
                <w:rFonts w:ascii="Trebuchet MS" w:hAnsi="Trebuchet MS"/>
                <w:lang w:val="ro-RO"/>
              </w:rPr>
              <w:t>6.6. Alte informații</w:t>
            </w:r>
          </w:p>
        </w:tc>
        <w:tc>
          <w:tcPr>
            <w:tcW w:w="5812" w:type="dxa"/>
            <w:gridSpan w:val="2"/>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tc>
      </w:tr>
    </w:tbl>
    <w:p w:rsidR="00A2560E" w:rsidRDefault="00A2560E">
      <w:pPr>
        <w:spacing w:after="0" w:line="240" w:lineRule="auto"/>
        <w:jc w:val="center"/>
        <w:rPr>
          <w:rFonts w:ascii="Trebuchet MS" w:hAnsi="Trebuchet MS"/>
          <w:b/>
          <w:bCs/>
          <w:sz w:val="28"/>
          <w:szCs w:val="28"/>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7-a</w:t>
      </w:r>
    </w:p>
    <w:p w:rsidR="00A2560E" w:rsidRDefault="00A15547">
      <w:pPr>
        <w:spacing w:after="120" w:line="240" w:lineRule="auto"/>
        <w:jc w:val="center"/>
        <w:rPr>
          <w:rFonts w:ascii="Trebuchet MS" w:hAnsi="Trebuchet MS"/>
          <w:b/>
          <w:lang w:val="ro-RO"/>
        </w:rPr>
      </w:pPr>
      <w:r>
        <w:rPr>
          <w:rFonts w:ascii="Trebuchet MS" w:hAnsi="Trebuchet MS"/>
          <w:b/>
          <w:lang w:val="ro-RO"/>
        </w:rPr>
        <w:t>Activități de informare publică privind elaborarea și implementarea proiectului de act normativ</w:t>
      </w:r>
    </w:p>
    <w:p w:rsidR="00A2560E" w:rsidRDefault="00A2560E">
      <w:pPr>
        <w:spacing w:after="120" w:line="240" w:lineRule="auto"/>
        <w:jc w:val="center"/>
        <w:rPr>
          <w:rFonts w:ascii="Trebuchet MS" w:hAnsi="Trebuchet MS"/>
          <w:b/>
          <w:sz w:val="6"/>
          <w:szCs w:val="6"/>
          <w:lang w:val="ro-RO"/>
        </w:rPr>
      </w:pPr>
    </w:p>
    <w:tbl>
      <w:tblPr>
        <w:tblW w:w="10260" w:type="dxa"/>
        <w:tblInd w:w="-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33"/>
        <w:gridCol w:w="6627"/>
      </w:tblGrid>
      <w:tr w:rsidR="00A2560E">
        <w:tc>
          <w:tcPr>
            <w:tcW w:w="3633" w:type="dxa"/>
            <w:tcBorders>
              <w:top w:val="single" w:sz="4" w:space="0" w:color="auto"/>
              <w:bottom w:val="single" w:sz="4" w:space="0" w:color="auto"/>
              <w:right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7.1. Informarea societății civile cu privire la elaborarea proiectului de act normativ</w:t>
            </w:r>
          </w:p>
        </w:tc>
        <w:tc>
          <w:tcPr>
            <w:tcW w:w="6627" w:type="dxa"/>
            <w:tcBorders>
              <w:top w:val="single" w:sz="4" w:space="0" w:color="auto"/>
              <w:left w:val="single" w:sz="4" w:space="0" w:color="auto"/>
              <w:bottom w:val="single" w:sz="4" w:space="0" w:color="auto"/>
            </w:tcBorders>
          </w:tcPr>
          <w:p w:rsidR="00A2560E" w:rsidRDefault="00A15547">
            <w:pPr>
              <w:jc w:val="both"/>
              <w:rPr>
                <w:rFonts w:ascii="Trebuchet MS" w:hAnsi="Trebuchet MS"/>
                <w:lang w:val="ro-RO"/>
              </w:rPr>
            </w:pPr>
            <w:r>
              <w:rPr>
                <w:rFonts w:ascii="Trebuchet MS" w:hAnsi="Trebuchet MS"/>
                <w:lang w:val="ro-RO"/>
              </w:rPr>
              <w:t xml:space="preserve">Au fost îndeplinite procedurile prevăzute de Legea nr. 52/2003 privind transparența decizională în administrația publică. </w:t>
            </w:r>
          </w:p>
          <w:p w:rsidR="00A2560E" w:rsidRDefault="00A15547">
            <w:pPr>
              <w:spacing w:after="0" w:line="240" w:lineRule="auto"/>
              <w:jc w:val="both"/>
              <w:rPr>
                <w:rFonts w:ascii="Trebuchet MS" w:hAnsi="Trebuchet MS"/>
                <w:lang w:val="ro-RO"/>
              </w:rPr>
            </w:pPr>
            <w:r>
              <w:rPr>
                <w:rFonts w:ascii="Trebuchet MS" w:hAnsi="Trebuchet MS"/>
                <w:lang w:val="ro-RO"/>
              </w:rPr>
              <w:t>Menționăm că au fost întreprinse demersurile legale  prevăzute de art.7 alin. (1)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Prevederile proiectului de act normativ au fost aduse la cunoștința partenerilor sociali, în cadrul ședințelor Comisiei de Dialog Social</w:t>
            </w:r>
          </w:p>
          <w:p w:rsidR="00A2560E" w:rsidRDefault="00A2560E">
            <w:pPr>
              <w:spacing w:after="0" w:line="240" w:lineRule="auto"/>
              <w:jc w:val="both"/>
              <w:rPr>
                <w:rFonts w:ascii="Trebuchet MS" w:hAnsi="Trebuchet MS"/>
                <w:lang w:val="ro-RO"/>
              </w:rPr>
            </w:pPr>
          </w:p>
        </w:tc>
      </w:tr>
      <w:tr w:rsidR="00A2560E">
        <w:tc>
          <w:tcPr>
            <w:tcW w:w="3633" w:type="dxa"/>
            <w:tcBorders>
              <w:top w:val="single" w:sz="4" w:space="0" w:color="auto"/>
              <w:bottom w:val="single" w:sz="4" w:space="0" w:color="auto"/>
              <w:right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7.2. Informarea societății civile cu privire la eventualul impact asupra mediului în urma implementării proiectului de act normativ, precum și efectele asupra sănătății și securității cetățenilor sau diversității biologice</w:t>
            </w:r>
          </w:p>
        </w:tc>
        <w:tc>
          <w:tcPr>
            <w:tcW w:w="6627" w:type="dxa"/>
            <w:tcBorders>
              <w:top w:val="single" w:sz="4" w:space="0" w:color="auto"/>
              <w:left w:val="single" w:sz="4" w:space="0" w:color="auto"/>
              <w:bottom w:val="single" w:sz="4" w:space="0" w:color="auto"/>
            </w:tcBorders>
          </w:tcPr>
          <w:p w:rsidR="00A2560E" w:rsidRDefault="00A15547">
            <w:pPr>
              <w:spacing w:after="0" w:line="240" w:lineRule="auto"/>
              <w:jc w:val="both"/>
              <w:rPr>
                <w:rFonts w:ascii="Trebuchet MS" w:hAnsi="Trebuchet MS"/>
                <w:lang w:val="ro-RO"/>
              </w:rPr>
            </w:pPr>
            <w:r>
              <w:rPr>
                <w:rFonts w:ascii="Trebuchet MS" w:hAnsi="Trebuchet MS"/>
                <w:lang w:val="ro-RO"/>
              </w:rPr>
              <w:t>Proiectul de act normativ nu produce impact asupra mediului</w:t>
            </w:r>
          </w:p>
        </w:tc>
      </w:tr>
    </w:tbl>
    <w:p w:rsidR="00A2560E" w:rsidRDefault="00A2560E">
      <w:pPr>
        <w:spacing w:after="0" w:line="240" w:lineRule="auto"/>
        <w:jc w:val="center"/>
        <w:rPr>
          <w:rFonts w:ascii="Times New Roman" w:hAnsi="Times New Roman"/>
          <w:b/>
          <w:bCs/>
          <w:sz w:val="23"/>
          <w:szCs w:val="23"/>
          <w:lang w:val="ro-RO"/>
        </w:rPr>
      </w:pPr>
    </w:p>
    <w:p w:rsidR="00A2560E" w:rsidRDefault="00A15547">
      <w:pPr>
        <w:spacing w:after="0" w:line="240" w:lineRule="auto"/>
        <w:jc w:val="center"/>
        <w:rPr>
          <w:rFonts w:ascii="Trebuchet MS" w:hAnsi="Trebuchet MS"/>
          <w:b/>
          <w:bCs/>
          <w:lang w:val="ro-RO"/>
        </w:rPr>
      </w:pPr>
      <w:r>
        <w:rPr>
          <w:rFonts w:ascii="Trebuchet MS" w:hAnsi="Trebuchet MS"/>
          <w:b/>
          <w:bCs/>
          <w:lang w:val="ro-RO"/>
        </w:rPr>
        <w:t>Secțiunea a 8-a</w:t>
      </w:r>
    </w:p>
    <w:p w:rsidR="00A2560E" w:rsidRDefault="00A15547">
      <w:pPr>
        <w:spacing w:after="0" w:line="240" w:lineRule="auto"/>
        <w:jc w:val="center"/>
        <w:rPr>
          <w:rFonts w:ascii="Trebuchet MS" w:hAnsi="Trebuchet MS"/>
          <w:b/>
          <w:bCs/>
          <w:lang w:val="ro-RO"/>
        </w:rPr>
      </w:pPr>
      <w:r>
        <w:rPr>
          <w:rFonts w:ascii="Trebuchet MS" w:hAnsi="Trebuchet MS"/>
          <w:b/>
          <w:bCs/>
          <w:lang w:val="ro-RO"/>
        </w:rPr>
        <w:t>Măsuri privind implementarea, monitorizarea și evaluarea proiectului de act normativ</w:t>
      </w:r>
    </w:p>
    <w:p w:rsidR="00A2560E" w:rsidRDefault="00A2560E">
      <w:pPr>
        <w:spacing w:after="0" w:line="240" w:lineRule="auto"/>
        <w:jc w:val="center"/>
        <w:rPr>
          <w:rFonts w:ascii="Trebuchet MS" w:hAnsi="Trebuchet MS"/>
          <w:b/>
          <w:bCs/>
          <w:lang w:val="ro-RO"/>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6683"/>
      </w:tblGrid>
      <w:tr w:rsidR="00A2560E">
        <w:tc>
          <w:tcPr>
            <w:tcW w:w="3666" w:type="dxa"/>
          </w:tcPr>
          <w:p w:rsidR="00A2560E" w:rsidRDefault="00A15547">
            <w:pPr>
              <w:spacing w:after="0" w:line="240" w:lineRule="auto"/>
              <w:jc w:val="both"/>
              <w:rPr>
                <w:rFonts w:ascii="Trebuchet MS" w:hAnsi="Trebuchet MS"/>
                <w:lang w:val="ro-RO"/>
              </w:rPr>
            </w:pPr>
            <w:r>
              <w:rPr>
                <w:rFonts w:ascii="Trebuchet MS" w:hAnsi="Trebuchet MS"/>
                <w:lang w:val="ro-RO"/>
              </w:rPr>
              <w:t xml:space="preserve">8.1.Măsurile de punere în aplicare a proiectului de act normativ </w:t>
            </w:r>
          </w:p>
        </w:tc>
        <w:tc>
          <w:tcPr>
            <w:tcW w:w="6683" w:type="dxa"/>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p w:rsidR="00A2560E" w:rsidRDefault="00A2560E">
            <w:pPr>
              <w:spacing w:after="0" w:line="240" w:lineRule="auto"/>
              <w:jc w:val="both"/>
              <w:rPr>
                <w:rFonts w:ascii="Trebuchet MS" w:hAnsi="Trebuchet MS"/>
                <w:lang w:val="ro-RO"/>
              </w:rPr>
            </w:pPr>
          </w:p>
          <w:p w:rsidR="00A2560E" w:rsidRDefault="00A2560E">
            <w:pPr>
              <w:spacing w:after="0" w:line="240" w:lineRule="auto"/>
              <w:jc w:val="both"/>
              <w:rPr>
                <w:rFonts w:ascii="Trebuchet MS" w:hAnsi="Trebuchet MS"/>
                <w:lang w:val="ro-RO"/>
              </w:rPr>
            </w:pPr>
          </w:p>
        </w:tc>
      </w:tr>
      <w:tr w:rsidR="00A2560E">
        <w:tc>
          <w:tcPr>
            <w:tcW w:w="3666" w:type="dxa"/>
          </w:tcPr>
          <w:p w:rsidR="00A2560E" w:rsidRDefault="00A15547">
            <w:pPr>
              <w:spacing w:after="0" w:line="240" w:lineRule="auto"/>
              <w:jc w:val="both"/>
              <w:rPr>
                <w:rFonts w:ascii="Trebuchet MS" w:hAnsi="Trebuchet MS"/>
                <w:lang w:val="ro-RO"/>
              </w:rPr>
            </w:pPr>
            <w:r>
              <w:rPr>
                <w:rFonts w:ascii="Trebuchet MS" w:hAnsi="Trebuchet MS"/>
                <w:lang w:val="ro-RO"/>
              </w:rPr>
              <w:t>8.2. Alte informații</w:t>
            </w:r>
          </w:p>
        </w:tc>
        <w:tc>
          <w:tcPr>
            <w:tcW w:w="6683" w:type="dxa"/>
          </w:tcPr>
          <w:p w:rsidR="00A2560E" w:rsidRDefault="00A15547">
            <w:pPr>
              <w:spacing w:after="0" w:line="240" w:lineRule="auto"/>
              <w:jc w:val="both"/>
              <w:rPr>
                <w:rFonts w:ascii="Trebuchet MS" w:hAnsi="Trebuchet MS"/>
                <w:lang w:val="ro-RO"/>
              </w:rPr>
            </w:pPr>
            <w:r>
              <w:rPr>
                <w:rFonts w:ascii="Trebuchet MS" w:hAnsi="Trebuchet MS"/>
                <w:lang w:val="ro-RO"/>
              </w:rPr>
              <w:t>Nu este cazul</w:t>
            </w:r>
          </w:p>
          <w:p w:rsidR="00A2560E" w:rsidRDefault="00A2560E">
            <w:pPr>
              <w:spacing w:after="0" w:line="240" w:lineRule="auto"/>
              <w:jc w:val="both"/>
              <w:rPr>
                <w:rFonts w:ascii="Trebuchet MS" w:hAnsi="Trebuchet MS"/>
                <w:lang w:val="ro-RO"/>
              </w:rPr>
            </w:pPr>
          </w:p>
        </w:tc>
      </w:tr>
    </w:tbl>
    <w:p w:rsidR="00A2560E" w:rsidRDefault="00A2560E">
      <w:pPr>
        <w:spacing w:line="240" w:lineRule="auto"/>
        <w:jc w:val="both"/>
        <w:rPr>
          <w:rFonts w:ascii="Times New Roman" w:hAnsi="Times New Roman"/>
          <w:sz w:val="23"/>
          <w:szCs w:val="23"/>
          <w:lang w:val="ro-RO"/>
        </w:rPr>
      </w:pPr>
    </w:p>
    <w:p w:rsidR="00A2560E" w:rsidRDefault="00A2560E">
      <w:pPr>
        <w:spacing w:line="360" w:lineRule="auto"/>
        <w:jc w:val="both"/>
        <w:rPr>
          <w:rFonts w:ascii="Trebuchet MS" w:hAnsi="Trebuchet MS"/>
          <w:lang w:val="ro-RO" w:eastAsia="ro-RO"/>
        </w:rPr>
      </w:pPr>
    </w:p>
    <w:p w:rsidR="00A2560E" w:rsidRDefault="00A2560E">
      <w:pPr>
        <w:spacing w:line="360" w:lineRule="auto"/>
        <w:jc w:val="both"/>
        <w:rPr>
          <w:rFonts w:ascii="Trebuchet MS" w:hAnsi="Trebuchet MS"/>
          <w:lang w:val="ro-RO" w:eastAsia="ro-RO"/>
        </w:rPr>
      </w:pPr>
    </w:p>
    <w:p w:rsidR="00A2560E" w:rsidRDefault="00A15547">
      <w:pPr>
        <w:spacing w:line="360" w:lineRule="auto"/>
        <w:jc w:val="both"/>
        <w:rPr>
          <w:rFonts w:ascii="Trebuchet MS" w:hAnsi="Trebuchet MS"/>
          <w:b/>
          <w:lang w:val="ro-RO" w:eastAsia="ro-RO"/>
        </w:rPr>
      </w:pPr>
      <w:r>
        <w:rPr>
          <w:rFonts w:ascii="Trebuchet MS" w:hAnsi="Trebuchet MS"/>
          <w:lang w:val="ro-RO" w:eastAsia="ro-RO"/>
        </w:rPr>
        <w:t xml:space="preserve">Pentru considerentele de mai sus, am elaborat </w:t>
      </w:r>
      <w:r>
        <w:rPr>
          <w:rFonts w:ascii="Trebuchet MS" w:hAnsi="Trebuchet MS"/>
          <w:b/>
          <w:lang w:val="ro-RO" w:eastAsia="ro-RO"/>
        </w:rPr>
        <w:t>proiectul de Hotărâre a Guvernului</w:t>
      </w:r>
      <w:r>
        <w:rPr>
          <w:rFonts w:ascii="Trebuchet MS" w:hAnsi="Trebuchet MS"/>
          <w:lang w:val="ro-RO" w:eastAsia="ro-RO"/>
        </w:rPr>
        <w:t xml:space="preserve"> </w:t>
      </w:r>
      <w:r>
        <w:rPr>
          <w:rFonts w:ascii="Trebuchet MS" w:hAnsi="Trebuchet MS"/>
          <w:b/>
          <w:lang w:val="ro-RO" w:eastAsia="ro-RO"/>
        </w:rPr>
        <w:t>pentru modificarea Anexei nr.1 la Hotărârea Guvernului nr. 185/1994 privind acordarea alocației de hrană zilnice pentru personalul navigant și auxiliar îmbarcat pe nave</w:t>
      </w:r>
      <w:r>
        <w:rPr>
          <w:rFonts w:ascii="Trebuchet MS" w:hAnsi="Trebuchet MS"/>
          <w:b/>
          <w:lang w:val="ro-RO"/>
        </w:rPr>
        <w:t xml:space="preserve"> </w:t>
      </w:r>
      <w:r>
        <w:rPr>
          <w:rFonts w:ascii="Trebuchet MS" w:hAnsi="Trebuchet MS"/>
          <w:lang w:val="ro-RO" w:eastAsia="ro-RO"/>
        </w:rPr>
        <w:t>care, în forma prezentată a fost avizat de ministerele interesate și pe care îl supunem spre aprobare.</w:t>
      </w:r>
    </w:p>
    <w:p w:rsidR="00A2560E" w:rsidRDefault="00A2560E">
      <w:pPr>
        <w:spacing w:after="0" w:line="240" w:lineRule="auto"/>
        <w:jc w:val="both"/>
        <w:rPr>
          <w:rFonts w:ascii="Times New Roman" w:hAnsi="Times New Roman"/>
          <w:sz w:val="24"/>
          <w:szCs w:val="24"/>
          <w:lang w:val="ro-RO" w:eastAsia="ro-RO"/>
        </w:rPr>
      </w:pPr>
    </w:p>
    <w:p w:rsidR="00A2560E" w:rsidRDefault="00A2560E">
      <w:pPr>
        <w:spacing w:after="0" w:line="240" w:lineRule="auto"/>
        <w:jc w:val="both"/>
        <w:rPr>
          <w:rFonts w:ascii="Times New Roman" w:hAnsi="Times New Roman"/>
          <w:sz w:val="24"/>
          <w:szCs w:val="24"/>
          <w:lang w:val="ro-RO" w:eastAsia="ro-RO"/>
        </w:rPr>
      </w:pPr>
    </w:p>
    <w:p w:rsidR="00446267" w:rsidRPr="00BD6879" w:rsidRDefault="00446267" w:rsidP="00446267">
      <w:pPr>
        <w:ind w:right="-338"/>
        <w:jc w:val="center"/>
        <w:rPr>
          <w:rFonts w:ascii="Trebuchet MS" w:hAnsi="Trebuchet MS"/>
          <w:b/>
          <w:bCs/>
          <w:lang w:eastAsia="ro-RO"/>
        </w:rPr>
      </w:pPr>
      <w:r w:rsidRPr="00BD6879">
        <w:rPr>
          <w:rFonts w:ascii="Trebuchet MS" w:hAnsi="Trebuchet MS"/>
          <w:b/>
        </w:rPr>
        <w:t>VICEPRIM - MINISTRU</w:t>
      </w:r>
    </w:p>
    <w:p w:rsidR="00446267" w:rsidRPr="00BD6879" w:rsidRDefault="00446267" w:rsidP="00446267">
      <w:pPr>
        <w:jc w:val="center"/>
        <w:rPr>
          <w:rFonts w:ascii="Trebuchet MS" w:hAnsi="Trebuchet MS"/>
          <w:b/>
        </w:rPr>
      </w:pPr>
      <w:r w:rsidRPr="00BD6879">
        <w:rPr>
          <w:rFonts w:ascii="Trebuchet MS" w:hAnsi="Trebuchet MS"/>
          <w:b/>
        </w:rPr>
        <w:t>MINISTRUL TRANSPORTURILOR ȘI INFRASTRUCTURII</w:t>
      </w:r>
    </w:p>
    <w:p w:rsidR="00446267" w:rsidRPr="00BD6879" w:rsidRDefault="00446267" w:rsidP="00446267">
      <w:pPr>
        <w:jc w:val="center"/>
        <w:rPr>
          <w:rFonts w:ascii="Trebuchet MS" w:hAnsi="Trebuchet MS"/>
          <w:b/>
        </w:rPr>
      </w:pPr>
      <w:r w:rsidRPr="00BD6879">
        <w:rPr>
          <w:rFonts w:ascii="Trebuchet MS" w:hAnsi="Trebuchet MS"/>
          <w:b/>
        </w:rPr>
        <w:t>SORIN MIHAI GRINDEANU</w:t>
      </w:r>
    </w:p>
    <w:p w:rsidR="00446267" w:rsidRPr="00BD6879" w:rsidRDefault="00446267" w:rsidP="00446267">
      <w:pPr>
        <w:ind w:right="360"/>
        <w:jc w:val="center"/>
        <w:rPr>
          <w:rFonts w:ascii="Trebuchet MS" w:hAnsi="Trebuchet MS"/>
          <w:b/>
        </w:rPr>
      </w:pPr>
    </w:p>
    <w:p w:rsidR="00446267" w:rsidRPr="00BD6879" w:rsidRDefault="00446267" w:rsidP="00446267">
      <w:pPr>
        <w:ind w:right="360"/>
        <w:jc w:val="center"/>
        <w:rPr>
          <w:rFonts w:ascii="Trebuchet MS" w:hAnsi="Trebuchet MS"/>
          <w:b/>
        </w:rPr>
      </w:pPr>
    </w:p>
    <w:p w:rsidR="00446267" w:rsidRPr="00BD6879" w:rsidRDefault="00446267" w:rsidP="00446267">
      <w:pPr>
        <w:ind w:right="360"/>
        <w:jc w:val="center"/>
        <w:rPr>
          <w:rFonts w:ascii="Trebuchet MS" w:hAnsi="Trebuchet MS"/>
          <w:b/>
        </w:rPr>
      </w:pPr>
    </w:p>
    <w:p w:rsidR="00446267" w:rsidRPr="00BD6879" w:rsidRDefault="00446267" w:rsidP="00446267">
      <w:pPr>
        <w:ind w:right="-243"/>
        <w:jc w:val="center"/>
        <w:rPr>
          <w:rFonts w:ascii="Trebuchet MS" w:hAnsi="Trebuchet MS"/>
          <w:b/>
        </w:rPr>
      </w:pPr>
    </w:p>
    <w:p w:rsidR="00446267" w:rsidRPr="00BD6879" w:rsidRDefault="00446267" w:rsidP="00446267">
      <w:pPr>
        <w:ind w:right="-243"/>
        <w:jc w:val="center"/>
        <w:rPr>
          <w:rFonts w:ascii="Trebuchet MS" w:hAnsi="Trebuchet MS"/>
          <w:b/>
          <w:u w:val="single"/>
        </w:rPr>
      </w:pPr>
      <w:r w:rsidRPr="00BD6879">
        <w:rPr>
          <w:rFonts w:ascii="Trebuchet MS" w:hAnsi="Trebuchet MS"/>
          <w:b/>
          <w:u w:val="single"/>
        </w:rPr>
        <w:t>AVIZĂM</w:t>
      </w:r>
    </w:p>
    <w:p w:rsidR="00446267" w:rsidRPr="00BD6879" w:rsidRDefault="00446267" w:rsidP="00446267">
      <w:pPr>
        <w:ind w:right="-243"/>
        <w:jc w:val="center"/>
        <w:rPr>
          <w:rFonts w:ascii="Trebuchet MS" w:hAnsi="Trebuchet MS"/>
          <w:b/>
        </w:rPr>
      </w:pPr>
    </w:p>
    <w:p w:rsidR="00446267" w:rsidRPr="00BD6879" w:rsidRDefault="00446267" w:rsidP="00446267">
      <w:pPr>
        <w:pStyle w:val="NormalWeb"/>
        <w:shd w:val="clear" w:color="auto" w:fill="FFFFFF"/>
        <w:spacing w:before="0" w:beforeAutospacing="0" w:after="0" w:afterAutospacing="0" w:line="360" w:lineRule="auto"/>
        <w:jc w:val="center"/>
        <w:textAlignment w:val="baseline"/>
        <w:rPr>
          <w:rFonts w:ascii="Trebuchet MS" w:hAnsi="Trebuchet MS"/>
          <w:b/>
          <w:sz w:val="22"/>
          <w:szCs w:val="22"/>
          <w:lang w:val="ro-RO"/>
        </w:rPr>
      </w:pPr>
      <w:r w:rsidRPr="00BD6879">
        <w:rPr>
          <w:rFonts w:ascii="Trebuchet MS" w:hAnsi="Trebuchet MS"/>
          <w:b/>
          <w:sz w:val="22"/>
          <w:szCs w:val="22"/>
          <w:lang w:val="ro-RO"/>
        </w:rPr>
        <w:t>MINISTRUL MUNCII ȘI SOLIDARITĂȚII SOCIALE</w:t>
      </w:r>
    </w:p>
    <w:p w:rsidR="00446267" w:rsidRPr="00BD6879" w:rsidRDefault="00446267" w:rsidP="00446267">
      <w:pPr>
        <w:pStyle w:val="Heading3"/>
        <w:shd w:val="clear" w:color="auto" w:fill="FFFFFF"/>
        <w:spacing w:before="0" w:after="0" w:line="360" w:lineRule="auto"/>
        <w:jc w:val="center"/>
        <w:textAlignment w:val="baseline"/>
        <w:rPr>
          <w:rStyle w:val="InternetLink"/>
          <w:rFonts w:ascii="Trebuchet MS" w:hAnsi="Trebuchet MS"/>
          <w:color w:val="auto"/>
          <w:sz w:val="22"/>
          <w:szCs w:val="22"/>
          <w:u w:val="none"/>
        </w:rPr>
      </w:pPr>
      <w:r w:rsidRPr="00BD6879">
        <w:rPr>
          <w:rStyle w:val="InternetLink"/>
          <w:rFonts w:ascii="Trebuchet MS" w:hAnsi="Trebuchet MS"/>
          <w:color w:val="auto"/>
          <w:sz w:val="22"/>
          <w:szCs w:val="22"/>
          <w:u w:val="none"/>
        </w:rPr>
        <w:t>MARIUS – CONSTANTIN BUDĂI</w:t>
      </w:r>
    </w:p>
    <w:p w:rsidR="00446267" w:rsidRPr="00BD6879" w:rsidRDefault="00446267" w:rsidP="00446267">
      <w:pPr>
        <w:jc w:val="center"/>
        <w:rPr>
          <w:lang w:val="ro-RO"/>
        </w:rPr>
      </w:pPr>
    </w:p>
    <w:p w:rsidR="00446267" w:rsidRPr="00BD6879" w:rsidRDefault="00446267" w:rsidP="00446267">
      <w:pPr>
        <w:pStyle w:val="Heading3"/>
        <w:shd w:val="clear" w:color="auto" w:fill="FFFFFF"/>
        <w:jc w:val="center"/>
        <w:textAlignment w:val="baseline"/>
        <w:rPr>
          <w:rFonts w:ascii="Trebuchet MS" w:hAnsi="Trebuchet MS"/>
          <w:sz w:val="22"/>
          <w:szCs w:val="22"/>
          <w:lang w:val="ro-RO"/>
        </w:rPr>
      </w:pPr>
    </w:p>
    <w:p w:rsidR="00446267" w:rsidRPr="00BD6879" w:rsidRDefault="00446267" w:rsidP="00446267">
      <w:pPr>
        <w:rPr>
          <w:lang w:val="ro-RO"/>
        </w:rPr>
      </w:pPr>
    </w:p>
    <w:p w:rsidR="00446267" w:rsidRPr="00BD6879" w:rsidRDefault="00446267" w:rsidP="00446267">
      <w:pPr>
        <w:rPr>
          <w:lang w:val="ro-RO"/>
        </w:rPr>
      </w:pPr>
    </w:p>
    <w:p w:rsidR="00446267" w:rsidRPr="00BD6879" w:rsidRDefault="00446267" w:rsidP="00446267">
      <w:pPr>
        <w:ind w:right="540"/>
        <w:jc w:val="center"/>
        <w:rPr>
          <w:rFonts w:ascii="Trebuchet MS" w:hAnsi="Trebuchet MS"/>
          <w:b/>
        </w:rPr>
      </w:pPr>
    </w:p>
    <w:p w:rsidR="00446267" w:rsidRPr="00BD6879" w:rsidRDefault="00446267" w:rsidP="00446267">
      <w:pPr>
        <w:pStyle w:val="NormalWeb"/>
        <w:shd w:val="clear" w:color="auto" w:fill="FFFFFF"/>
        <w:spacing w:before="0" w:beforeAutospacing="0" w:after="0" w:afterAutospacing="0" w:line="360" w:lineRule="auto"/>
        <w:jc w:val="center"/>
        <w:textAlignment w:val="baseline"/>
        <w:rPr>
          <w:rFonts w:ascii="Trebuchet MS" w:hAnsi="Trebuchet MS"/>
          <w:b/>
          <w:sz w:val="22"/>
          <w:szCs w:val="22"/>
          <w:lang w:val="ro-RO"/>
        </w:rPr>
      </w:pPr>
      <w:r w:rsidRPr="00BD6879">
        <w:rPr>
          <w:rFonts w:ascii="Trebuchet MS" w:hAnsi="Trebuchet MS"/>
          <w:b/>
          <w:sz w:val="22"/>
          <w:szCs w:val="22"/>
          <w:lang w:val="ro-RO"/>
        </w:rPr>
        <w:t xml:space="preserve">MINISTRUL FINANŢELOR </w:t>
      </w:r>
    </w:p>
    <w:p w:rsidR="00446267" w:rsidRPr="00BD6879" w:rsidRDefault="00446267" w:rsidP="00446267">
      <w:pPr>
        <w:pStyle w:val="NormalWeb"/>
        <w:shd w:val="clear" w:color="auto" w:fill="FFFFFF"/>
        <w:spacing w:before="0" w:beforeAutospacing="0" w:after="0" w:afterAutospacing="0" w:line="360" w:lineRule="auto"/>
        <w:jc w:val="center"/>
        <w:textAlignment w:val="baseline"/>
        <w:rPr>
          <w:rFonts w:ascii="Trebuchet MS" w:hAnsi="Trebuchet MS"/>
          <w:b/>
          <w:sz w:val="22"/>
          <w:szCs w:val="22"/>
          <w:lang w:val="ro-RO"/>
        </w:rPr>
      </w:pPr>
      <w:r w:rsidRPr="00BD6879">
        <w:rPr>
          <w:rFonts w:ascii="Trebuchet MS" w:hAnsi="Trebuchet MS"/>
          <w:b/>
          <w:sz w:val="22"/>
          <w:szCs w:val="22"/>
          <w:lang w:val="ro-RO"/>
        </w:rPr>
        <w:t xml:space="preserve">  ADRIAN CÂCIU</w:t>
      </w:r>
    </w:p>
    <w:p w:rsidR="00446267" w:rsidRPr="00BD6879" w:rsidRDefault="00446267" w:rsidP="00446267">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446267" w:rsidRPr="00BD6879" w:rsidRDefault="00446267" w:rsidP="00446267">
      <w:pPr>
        <w:ind w:right="540"/>
        <w:jc w:val="center"/>
        <w:rPr>
          <w:rFonts w:ascii="Trebuchet MS" w:hAnsi="Trebuchet MS"/>
          <w:b/>
        </w:rPr>
      </w:pPr>
    </w:p>
    <w:p w:rsidR="00446267" w:rsidRPr="00BD6879" w:rsidRDefault="00446267" w:rsidP="00446267">
      <w:pPr>
        <w:ind w:right="540"/>
        <w:jc w:val="center"/>
        <w:rPr>
          <w:rFonts w:ascii="Trebuchet MS" w:hAnsi="Trebuchet MS"/>
          <w:b/>
        </w:rPr>
      </w:pPr>
    </w:p>
    <w:p w:rsidR="00446267" w:rsidRPr="00BD6879" w:rsidRDefault="00446267" w:rsidP="00446267">
      <w:pPr>
        <w:ind w:right="540"/>
        <w:jc w:val="center"/>
        <w:rPr>
          <w:rFonts w:ascii="Trebuchet MS" w:hAnsi="Trebuchet MS"/>
          <w:b/>
        </w:rPr>
      </w:pPr>
    </w:p>
    <w:p w:rsidR="00446267" w:rsidRPr="00BD6879" w:rsidRDefault="00446267" w:rsidP="00446267">
      <w:pPr>
        <w:ind w:right="540"/>
        <w:jc w:val="center"/>
        <w:rPr>
          <w:rFonts w:ascii="Trebuchet MS" w:hAnsi="Trebuchet MS"/>
          <w:b/>
        </w:rPr>
      </w:pPr>
    </w:p>
    <w:p w:rsidR="00446267" w:rsidRPr="00BD6879" w:rsidRDefault="00446267" w:rsidP="00446267">
      <w:pPr>
        <w:pStyle w:val="NormalWeb"/>
        <w:shd w:val="clear" w:color="auto" w:fill="FFFFFF"/>
        <w:spacing w:before="0" w:beforeAutospacing="0" w:after="0" w:afterAutospacing="0" w:line="360" w:lineRule="auto"/>
        <w:jc w:val="center"/>
        <w:textAlignment w:val="baseline"/>
        <w:rPr>
          <w:rFonts w:ascii="Trebuchet MS" w:hAnsi="Trebuchet MS"/>
          <w:b/>
          <w:sz w:val="22"/>
          <w:szCs w:val="22"/>
          <w:lang w:val="ro-RO"/>
        </w:rPr>
      </w:pPr>
      <w:r w:rsidRPr="00BD6879">
        <w:rPr>
          <w:rFonts w:ascii="Trebuchet MS" w:hAnsi="Trebuchet MS"/>
          <w:b/>
          <w:sz w:val="22"/>
          <w:szCs w:val="22"/>
          <w:lang w:val="ro-RO"/>
        </w:rPr>
        <w:t>MINISTRUL JUSTIȚIEI</w:t>
      </w:r>
    </w:p>
    <w:p w:rsidR="00446267" w:rsidRPr="00BD6879" w:rsidRDefault="00446267" w:rsidP="00446267">
      <w:pPr>
        <w:pStyle w:val="NormalWeb"/>
        <w:shd w:val="clear" w:color="auto" w:fill="FFFFFF"/>
        <w:spacing w:before="0" w:beforeAutospacing="0" w:after="0" w:afterAutospacing="0" w:line="360" w:lineRule="auto"/>
        <w:jc w:val="center"/>
        <w:textAlignment w:val="baseline"/>
        <w:rPr>
          <w:rFonts w:ascii="Trebuchet MS" w:hAnsi="Trebuchet MS"/>
          <w:b/>
          <w:sz w:val="22"/>
          <w:szCs w:val="22"/>
          <w:lang w:val="ro-RO"/>
        </w:rPr>
      </w:pPr>
      <w:r w:rsidRPr="00BD6879">
        <w:rPr>
          <w:rFonts w:ascii="Trebuchet MS" w:hAnsi="Trebuchet MS"/>
          <w:b/>
          <w:sz w:val="22"/>
          <w:szCs w:val="22"/>
          <w:lang w:val="ro-RO"/>
        </w:rPr>
        <w:t>MARIAN - CĂTĂLIN PREDOIU</w:t>
      </w:r>
    </w:p>
    <w:p w:rsidR="00446267" w:rsidRPr="00BD6879" w:rsidRDefault="00446267" w:rsidP="00446267">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446267" w:rsidRPr="00BD6879" w:rsidRDefault="00446267" w:rsidP="00446267">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446267" w:rsidRPr="00BD6879" w:rsidRDefault="00446267" w:rsidP="00446267">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446267" w:rsidRPr="00BD6879" w:rsidRDefault="00446267" w:rsidP="00446267">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446267" w:rsidRDefault="00446267" w:rsidP="00446267">
      <w:pPr>
        <w:spacing w:after="0" w:line="240" w:lineRule="auto"/>
        <w:rPr>
          <w:rFonts w:ascii="Times New Roman" w:hAnsi="Times New Roman"/>
          <w:b/>
          <w:sz w:val="24"/>
          <w:szCs w:val="24"/>
          <w:lang w:val="ro-RO" w:eastAsia="ro-RO"/>
        </w:rPr>
      </w:pP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446267" w:rsidRPr="00463075" w:rsidTr="005E73EA">
        <w:tc>
          <w:tcPr>
            <w:tcW w:w="9985" w:type="dxa"/>
            <w:tcBorders>
              <w:top w:val="nil"/>
              <w:left w:val="nil"/>
              <w:bottom w:val="nil"/>
              <w:right w:val="nil"/>
            </w:tcBorders>
            <w:shd w:val="clear" w:color="auto" w:fill="auto"/>
          </w:tcPr>
          <w:p w:rsidR="00446267" w:rsidRPr="00357C55" w:rsidRDefault="00446267" w:rsidP="005E73EA">
            <w:pPr>
              <w:ind w:right="540"/>
              <w:jc w:val="center"/>
              <w:rPr>
                <w:rFonts w:ascii="Trebuchet MS" w:hAnsi="Trebuchet MS"/>
                <w:b/>
              </w:rPr>
            </w:pPr>
            <w:r w:rsidRPr="00357C55">
              <w:rPr>
                <w:rFonts w:ascii="Trebuchet MS" w:hAnsi="Trebuchet MS"/>
                <w:b/>
              </w:rPr>
              <w:t>SECRETAR DE STAT</w:t>
            </w:r>
          </w:p>
          <w:p w:rsidR="00446267" w:rsidRPr="00357C55" w:rsidRDefault="00446267" w:rsidP="005E73EA">
            <w:pPr>
              <w:ind w:right="540"/>
              <w:jc w:val="center"/>
              <w:rPr>
                <w:rFonts w:ascii="Trebuchet MS" w:hAnsi="Trebuchet MS"/>
                <w:b/>
              </w:rPr>
            </w:pPr>
            <w:r>
              <w:rPr>
                <w:rFonts w:ascii="Trebuchet MS" w:hAnsi="Trebuchet MS"/>
                <w:b/>
              </w:rPr>
              <w:t>ION POPA</w:t>
            </w:r>
          </w:p>
          <w:p w:rsidR="00446267" w:rsidRDefault="00446267" w:rsidP="005E73EA">
            <w:pPr>
              <w:ind w:right="540"/>
              <w:jc w:val="center"/>
              <w:rPr>
                <w:rFonts w:ascii="Trebuchet MS" w:hAnsi="Trebuchet MS"/>
                <w:b/>
              </w:rPr>
            </w:pPr>
          </w:p>
          <w:p w:rsidR="00446267" w:rsidRPr="00D456AC" w:rsidRDefault="00446267" w:rsidP="005E73EA">
            <w:pPr>
              <w:ind w:right="540"/>
              <w:jc w:val="center"/>
              <w:rPr>
                <w:rFonts w:ascii="Trebuchet MS" w:hAnsi="Trebuchet MS"/>
                <w:b/>
              </w:rPr>
            </w:pPr>
          </w:p>
          <w:p w:rsidR="00446267" w:rsidRPr="00D456AC" w:rsidRDefault="00446267" w:rsidP="005E73EA">
            <w:pPr>
              <w:ind w:right="540"/>
              <w:jc w:val="center"/>
              <w:rPr>
                <w:rFonts w:ascii="Trebuchet MS" w:hAnsi="Trebuchet MS"/>
                <w:b/>
              </w:rPr>
            </w:pPr>
            <w:r w:rsidRPr="00D456AC">
              <w:rPr>
                <w:rFonts w:ascii="Trebuchet MS" w:hAnsi="Trebuchet MS"/>
                <w:b/>
              </w:rPr>
              <w:t>SECRETAR GENERAL</w:t>
            </w:r>
            <w:r>
              <w:rPr>
                <w:rFonts w:ascii="Trebuchet MS" w:hAnsi="Trebuchet MS"/>
                <w:b/>
              </w:rPr>
              <w:t xml:space="preserve"> </w:t>
            </w:r>
          </w:p>
          <w:p w:rsidR="00446267" w:rsidRPr="00D456AC" w:rsidRDefault="00446267" w:rsidP="005E73EA">
            <w:pPr>
              <w:ind w:right="540"/>
              <w:jc w:val="center"/>
              <w:rPr>
                <w:rFonts w:ascii="Trebuchet MS" w:hAnsi="Trebuchet MS"/>
                <w:b/>
              </w:rPr>
            </w:pPr>
            <w:r>
              <w:rPr>
                <w:rFonts w:ascii="Trebuchet MS" w:hAnsi="Trebuchet MS"/>
                <w:b/>
              </w:rPr>
              <w:t>MARIANA IONIȚĂ</w:t>
            </w:r>
          </w:p>
          <w:p w:rsidR="00446267" w:rsidRPr="00D456AC" w:rsidRDefault="00446267" w:rsidP="005E73EA">
            <w:pPr>
              <w:ind w:right="540"/>
              <w:jc w:val="center"/>
              <w:rPr>
                <w:rFonts w:ascii="Trebuchet MS" w:hAnsi="Trebuchet MS"/>
                <w:b/>
              </w:rPr>
            </w:pPr>
          </w:p>
          <w:p w:rsidR="00446267" w:rsidRPr="00D456AC" w:rsidRDefault="00446267" w:rsidP="005E73EA">
            <w:pPr>
              <w:ind w:right="540"/>
              <w:jc w:val="center"/>
              <w:rPr>
                <w:rFonts w:ascii="Trebuchet MS" w:hAnsi="Trebuchet MS"/>
                <w:b/>
              </w:rPr>
            </w:pPr>
          </w:p>
          <w:p w:rsidR="006F2A95" w:rsidRPr="00D456AC" w:rsidRDefault="006F2A95" w:rsidP="006F2A95">
            <w:pPr>
              <w:ind w:right="540"/>
              <w:jc w:val="center"/>
              <w:rPr>
                <w:rFonts w:ascii="Trebuchet MS" w:hAnsi="Trebuchet MS"/>
                <w:b/>
              </w:rPr>
            </w:pPr>
            <w:r w:rsidRPr="00D456AC">
              <w:rPr>
                <w:rFonts w:ascii="Trebuchet MS" w:hAnsi="Trebuchet MS"/>
                <w:b/>
              </w:rPr>
              <w:t>SECRETAR GENERAL</w:t>
            </w:r>
            <w:r>
              <w:rPr>
                <w:rFonts w:ascii="Trebuchet MS" w:hAnsi="Trebuchet MS"/>
                <w:b/>
              </w:rPr>
              <w:t xml:space="preserve"> ADJUNCT</w:t>
            </w:r>
            <w:r>
              <w:rPr>
                <w:rFonts w:ascii="Trebuchet MS" w:hAnsi="Trebuchet MS"/>
                <w:b/>
              </w:rPr>
              <w:t xml:space="preserve"> </w:t>
            </w:r>
          </w:p>
          <w:p w:rsidR="006F2A95" w:rsidRPr="00D456AC" w:rsidRDefault="00E96EE0" w:rsidP="006F2A95">
            <w:pPr>
              <w:ind w:right="540"/>
              <w:jc w:val="center"/>
              <w:rPr>
                <w:rFonts w:ascii="Trebuchet MS" w:hAnsi="Trebuchet MS"/>
                <w:b/>
              </w:rPr>
            </w:pPr>
            <w:r>
              <w:rPr>
                <w:rFonts w:ascii="Trebuchet MS" w:hAnsi="Trebuchet MS"/>
                <w:b/>
              </w:rPr>
              <w:t>ADRIAN DANIEL GĂVRUȚA</w:t>
            </w:r>
          </w:p>
          <w:p w:rsidR="00446267" w:rsidRDefault="00446267" w:rsidP="005E73EA">
            <w:pPr>
              <w:ind w:right="540"/>
              <w:jc w:val="center"/>
              <w:rPr>
                <w:rFonts w:ascii="Trebuchet MS" w:hAnsi="Trebuchet MS"/>
                <w:b/>
              </w:rPr>
            </w:pPr>
          </w:p>
          <w:p w:rsidR="00446267" w:rsidRDefault="00446267" w:rsidP="005E73EA">
            <w:pPr>
              <w:ind w:right="540"/>
              <w:jc w:val="center"/>
              <w:rPr>
                <w:rFonts w:ascii="Trebuchet MS" w:hAnsi="Trebuchet MS"/>
                <w:b/>
              </w:rPr>
            </w:pPr>
            <w:bookmarkStart w:id="0" w:name="_GoBack"/>
            <w:bookmarkEnd w:id="0"/>
          </w:p>
          <w:p w:rsidR="00E96EE0" w:rsidRPr="00D456AC" w:rsidRDefault="00E96EE0" w:rsidP="005E73EA">
            <w:pPr>
              <w:ind w:right="540"/>
              <w:jc w:val="center"/>
              <w:rPr>
                <w:rFonts w:ascii="Trebuchet MS" w:hAnsi="Trebuchet MS"/>
                <w:b/>
              </w:rPr>
            </w:pPr>
          </w:p>
        </w:tc>
      </w:tr>
      <w:tr w:rsidR="00446267" w:rsidRPr="00463075" w:rsidTr="005E73EA">
        <w:tc>
          <w:tcPr>
            <w:tcW w:w="9985" w:type="dxa"/>
            <w:tcBorders>
              <w:top w:val="nil"/>
              <w:left w:val="nil"/>
              <w:bottom w:val="nil"/>
              <w:right w:val="nil"/>
            </w:tcBorders>
            <w:shd w:val="clear" w:color="auto" w:fill="auto"/>
          </w:tcPr>
          <w:p w:rsidR="00446267" w:rsidRPr="00E96EE0" w:rsidRDefault="00446267" w:rsidP="005E73EA">
            <w:pPr>
              <w:ind w:right="540"/>
              <w:jc w:val="center"/>
              <w:rPr>
                <w:rFonts w:ascii="Trebuchet MS" w:hAnsi="Trebuchet MS"/>
                <w:b/>
                <w:i/>
              </w:rPr>
            </w:pPr>
            <w:r w:rsidRPr="00E96EE0">
              <w:rPr>
                <w:rFonts w:ascii="Trebuchet MS" w:hAnsi="Trebuchet MS"/>
                <w:b/>
                <w:i/>
              </w:rPr>
              <w:t>DIRECȚIA AVIZARE</w:t>
            </w:r>
          </w:p>
          <w:p w:rsidR="00446267" w:rsidRPr="00E96EE0" w:rsidRDefault="00446267" w:rsidP="005E73EA">
            <w:pPr>
              <w:ind w:right="540"/>
              <w:jc w:val="center"/>
              <w:rPr>
                <w:rFonts w:ascii="Trebuchet MS" w:hAnsi="Trebuchet MS"/>
                <w:b/>
                <w:i/>
              </w:rPr>
            </w:pPr>
            <w:r w:rsidRPr="00E96EE0">
              <w:rPr>
                <w:rFonts w:ascii="Trebuchet MS" w:hAnsi="Trebuchet MS"/>
                <w:b/>
                <w:i/>
              </w:rPr>
              <w:t>DIRECTOR</w:t>
            </w:r>
          </w:p>
          <w:p w:rsidR="00446267" w:rsidRPr="00E96EE0" w:rsidRDefault="00446267" w:rsidP="005E73EA">
            <w:pPr>
              <w:ind w:right="540"/>
              <w:jc w:val="center"/>
              <w:rPr>
                <w:rFonts w:ascii="Trebuchet MS" w:hAnsi="Trebuchet MS"/>
                <w:b/>
                <w:i/>
              </w:rPr>
            </w:pPr>
            <w:r w:rsidRPr="00E96EE0">
              <w:rPr>
                <w:rFonts w:ascii="Trebuchet MS" w:hAnsi="Trebuchet MS"/>
                <w:b/>
                <w:i/>
              </w:rPr>
              <w:t>LAURA ELENA ȚOPA</w:t>
            </w:r>
          </w:p>
          <w:p w:rsidR="00446267" w:rsidRPr="00E96EE0" w:rsidRDefault="00446267" w:rsidP="005E73EA">
            <w:pPr>
              <w:ind w:right="540"/>
              <w:jc w:val="center"/>
              <w:rPr>
                <w:rFonts w:ascii="Trebuchet MS" w:hAnsi="Trebuchet MS"/>
                <w:b/>
                <w:i/>
              </w:rPr>
            </w:pPr>
          </w:p>
          <w:p w:rsidR="00446267" w:rsidRPr="00E96EE0" w:rsidRDefault="00446267" w:rsidP="005E73EA">
            <w:pPr>
              <w:ind w:right="540"/>
              <w:jc w:val="center"/>
              <w:rPr>
                <w:rFonts w:ascii="Trebuchet MS" w:hAnsi="Trebuchet MS"/>
                <w:b/>
                <w:i/>
              </w:rPr>
            </w:pPr>
          </w:p>
          <w:p w:rsidR="00446267" w:rsidRPr="00E96EE0" w:rsidRDefault="00446267" w:rsidP="005E73EA">
            <w:pPr>
              <w:ind w:right="540"/>
              <w:jc w:val="center"/>
              <w:rPr>
                <w:rFonts w:ascii="Trebuchet MS" w:hAnsi="Trebuchet MS"/>
                <w:b/>
                <w:i/>
              </w:rPr>
            </w:pPr>
          </w:p>
        </w:tc>
      </w:tr>
      <w:tr w:rsidR="00446267" w:rsidRPr="00463075" w:rsidTr="005E73EA">
        <w:tc>
          <w:tcPr>
            <w:tcW w:w="9985" w:type="dxa"/>
            <w:tcBorders>
              <w:top w:val="nil"/>
              <w:left w:val="nil"/>
              <w:bottom w:val="nil"/>
              <w:right w:val="nil"/>
            </w:tcBorders>
            <w:shd w:val="clear" w:color="auto" w:fill="auto"/>
          </w:tcPr>
          <w:p w:rsidR="00446267" w:rsidRPr="00E96EE0" w:rsidRDefault="00446267" w:rsidP="005E73EA">
            <w:pPr>
              <w:ind w:right="540"/>
              <w:jc w:val="center"/>
              <w:rPr>
                <w:rFonts w:ascii="Trebuchet MS" w:hAnsi="Trebuchet MS"/>
                <w:b/>
                <w:i/>
              </w:rPr>
            </w:pPr>
          </w:p>
        </w:tc>
      </w:tr>
      <w:tr w:rsidR="00446267" w:rsidRPr="00463075" w:rsidTr="005E73EA">
        <w:tc>
          <w:tcPr>
            <w:tcW w:w="9985" w:type="dxa"/>
            <w:tcBorders>
              <w:top w:val="nil"/>
              <w:left w:val="nil"/>
              <w:bottom w:val="nil"/>
              <w:right w:val="nil"/>
            </w:tcBorders>
            <w:shd w:val="clear" w:color="auto" w:fill="auto"/>
          </w:tcPr>
          <w:p w:rsidR="00446267" w:rsidRPr="00D456AC" w:rsidRDefault="00446267" w:rsidP="005E73EA">
            <w:pPr>
              <w:ind w:right="540"/>
              <w:jc w:val="center"/>
              <w:rPr>
                <w:rFonts w:ascii="Trebuchet MS" w:hAnsi="Trebuchet MS"/>
                <w:b/>
              </w:rPr>
            </w:pPr>
            <w:r>
              <w:rPr>
                <w:rFonts w:ascii="Trebuchet MS" w:hAnsi="Trebuchet MS"/>
                <w:b/>
              </w:rPr>
              <w:t>DIRECȚIA ECONOMICĂ</w:t>
            </w:r>
          </w:p>
          <w:p w:rsidR="00446267" w:rsidRPr="00D456AC" w:rsidRDefault="00446267" w:rsidP="005E73EA">
            <w:pPr>
              <w:ind w:right="540"/>
              <w:jc w:val="center"/>
              <w:rPr>
                <w:rFonts w:ascii="Trebuchet MS" w:hAnsi="Trebuchet MS"/>
                <w:b/>
              </w:rPr>
            </w:pPr>
            <w:r w:rsidRPr="00D456AC">
              <w:rPr>
                <w:rFonts w:ascii="Trebuchet MS" w:hAnsi="Trebuchet MS"/>
                <w:b/>
              </w:rPr>
              <w:t>DIRECTOR</w:t>
            </w:r>
          </w:p>
          <w:p w:rsidR="00446267" w:rsidRPr="00D456AC" w:rsidRDefault="00446267" w:rsidP="005E73EA">
            <w:pPr>
              <w:ind w:right="540"/>
              <w:jc w:val="center"/>
              <w:rPr>
                <w:rFonts w:ascii="Trebuchet MS" w:hAnsi="Trebuchet MS"/>
                <w:b/>
              </w:rPr>
            </w:pPr>
            <w:r>
              <w:rPr>
                <w:rFonts w:ascii="Trebuchet MS" w:hAnsi="Trebuchet MS"/>
                <w:b/>
              </w:rPr>
              <w:t>LAURA DIANA GÎRLĂ</w:t>
            </w:r>
          </w:p>
          <w:p w:rsidR="00446267" w:rsidRPr="00D456AC" w:rsidRDefault="00446267" w:rsidP="005E73EA">
            <w:pPr>
              <w:ind w:right="540"/>
              <w:jc w:val="center"/>
              <w:rPr>
                <w:rFonts w:ascii="Trebuchet MS" w:hAnsi="Trebuchet MS"/>
                <w:b/>
              </w:rPr>
            </w:pPr>
          </w:p>
        </w:tc>
      </w:tr>
      <w:tr w:rsidR="00446267" w:rsidRPr="00463075" w:rsidTr="005E73EA">
        <w:tc>
          <w:tcPr>
            <w:tcW w:w="9985" w:type="dxa"/>
            <w:tcBorders>
              <w:top w:val="nil"/>
              <w:left w:val="nil"/>
              <w:bottom w:val="nil"/>
              <w:right w:val="nil"/>
            </w:tcBorders>
            <w:shd w:val="clear" w:color="auto" w:fill="auto"/>
          </w:tcPr>
          <w:p w:rsidR="00446267" w:rsidRPr="00D456AC" w:rsidRDefault="00446267" w:rsidP="005E73EA">
            <w:pPr>
              <w:ind w:right="540"/>
              <w:jc w:val="center"/>
              <w:rPr>
                <w:rFonts w:ascii="Trebuchet MS" w:hAnsi="Trebuchet MS"/>
                <w:b/>
              </w:rPr>
            </w:pPr>
          </w:p>
        </w:tc>
      </w:tr>
      <w:tr w:rsidR="00446267" w:rsidRPr="00463075" w:rsidTr="005E73EA">
        <w:tc>
          <w:tcPr>
            <w:tcW w:w="9985" w:type="dxa"/>
            <w:tcBorders>
              <w:top w:val="nil"/>
              <w:left w:val="nil"/>
              <w:bottom w:val="nil"/>
              <w:right w:val="nil"/>
            </w:tcBorders>
            <w:shd w:val="clear" w:color="auto" w:fill="auto"/>
          </w:tcPr>
          <w:p w:rsidR="00446267" w:rsidRPr="00D456AC" w:rsidRDefault="00446267" w:rsidP="005E73EA">
            <w:pPr>
              <w:ind w:right="540"/>
              <w:jc w:val="center"/>
              <w:rPr>
                <w:rFonts w:ascii="Trebuchet MS" w:hAnsi="Trebuchet MS"/>
                <w:b/>
              </w:rPr>
            </w:pPr>
          </w:p>
          <w:p w:rsidR="00446267" w:rsidRPr="00D456AC" w:rsidRDefault="00446267" w:rsidP="005E73EA">
            <w:pPr>
              <w:ind w:right="540"/>
              <w:jc w:val="center"/>
              <w:rPr>
                <w:rFonts w:ascii="Trebuchet MS" w:hAnsi="Trebuchet MS"/>
                <w:b/>
              </w:rPr>
            </w:pPr>
          </w:p>
        </w:tc>
      </w:tr>
      <w:tr w:rsidR="00446267" w:rsidRPr="00463075" w:rsidTr="005E73EA">
        <w:tc>
          <w:tcPr>
            <w:tcW w:w="9985" w:type="dxa"/>
            <w:tcBorders>
              <w:top w:val="nil"/>
              <w:left w:val="nil"/>
              <w:bottom w:val="nil"/>
              <w:right w:val="nil"/>
            </w:tcBorders>
            <w:shd w:val="clear" w:color="auto" w:fill="auto"/>
          </w:tcPr>
          <w:p w:rsidR="00446267" w:rsidRPr="00D456AC" w:rsidRDefault="00446267" w:rsidP="005E73EA">
            <w:pPr>
              <w:ind w:right="540"/>
              <w:jc w:val="center"/>
              <w:rPr>
                <w:rFonts w:ascii="Trebuchet MS" w:hAnsi="Trebuchet MS"/>
                <w:b/>
              </w:rPr>
            </w:pPr>
            <w:r w:rsidRPr="00D456AC">
              <w:rPr>
                <w:rFonts w:ascii="Trebuchet MS" w:hAnsi="Trebuchet MS"/>
                <w:b/>
              </w:rPr>
              <w:t>DIRECȚIA TRANSPORT NAVAL</w:t>
            </w:r>
          </w:p>
          <w:p w:rsidR="00446267" w:rsidRPr="00D456AC" w:rsidRDefault="00446267" w:rsidP="005E73EA">
            <w:pPr>
              <w:ind w:right="540"/>
              <w:jc w:val="center"/>
              <w:rPr>
                <w:rFonts w:ascii="Trebuchet MS" w:hAnsi="Trebuchet MS"/>
                <w:b/>
              </w:rPr>
            </w:pPr>
            <w:r w:rsidRPr="00D456AC">
              <w:rPr>
                <w:rFonts w:ascii="Trebuchet MS" w:hAnsi="Trebuchet MS"/>
                <w:b/>
              </w:rPr>
              <w:t>DIRECTOR</w:t>
            </w:r>
          </w:p>
          <w:p w:rsidR="00446267" w:rsidRPr="00D456AC" w:rsidRDefault="00446267" w:rsidP="005E73EA">
            <w:pPr>
              <w:ind w:right="540"/>
              <w:jc w:val="center"/>
              <w:rPr>
                <w:rFonts w:ascii="Trebuchet MS" w:hAnsi="Trebuchet MS"/>
                <w:b/>
              </w:rPr>
            </w:pPr>
            <w:r>
              <w:rPr>
                <w:rFonts w:ascii="Trebuchet MS" w:hAnsi="Trebuchet MS"/>
                <w:b/>
              </w:rPr>
              <w:t>GABRIELA MURGEANU</w:t>
            </w:r>
          </w:p>
          <w:p w:rsidR="00446267" w:rsidRPr="00D456AC" w:rsidRDefault="00446267" w:rsidP="005E73EA">
            <w:pPr>
              <w:ind w:right="540"/>
              <w:jc w:val="center"/>
              <w:rPr>
                <w:rFonts w:ascii="Trebuchet MS" w:hAnsi="Trebuchet MS"/>
                <w:b/>
              </w:rPr>
            </w:pPr>
          </w:p>
        </w:tc>
      </w:tr>
    </w:tbl>
    <w:p w:rsidR="00446267" w:rsidRPr="00463075" w:rsidRDefault="00446267" w:rsidP="00446267">
      <w:pPr>
        <w:ind w:right="540"/>
        <w:jc w:val="center"/>
      </w:pPr>
    </w:p>
    <w:p w:rsidR="00446267" w:rsidRPr="00DE27CC" w:rsidRDefault="00446267" w:rsidP="00446267">
      <w:pPr>
        <w:jc w:val="both"/>
        <w:rPr>
          <w:rFonts w:ascii="Trebuchet MS" w:hAnsi="Trebuchet MS"/>
          <w:lang w:val="ro-RO"/>
        </w:rPr>
      </w:pPr>
    </w:p>
    <w:p w:rsidR="00446267" w:rsidRPr="00BD6879" w:rsidRDefault="00446267" w:rsidP="00446267">
      <w:pPr>
        <w:spacing w:after="0" w:line="240" w:lineRule="auto"/>
        <w:rPr>
          <w:rFonts w:ascii="Times New Roman" w:hAnsi="Times New Roman"/>
          <w:b/>
          <w:sz w:val="24"/>
          <w:szCs w:val="24"/>
          <w:lang w:val="ro-RO" w:eastAsia="ro-RO"/>
        </w:rPr>
      </w:pPr>
    </w:p>
    <w:p w:rsidR="00A2560E" w:rsidRDefault="00A2560E">
      <w:pPr>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right="540"/>
        <w:jc w:val="both"/>
      </w:pPr>
    </w:p>
    <w:p w:rsidR="00A2560E" w:rsidRDefault="00A2560E">
      <w:pPr>
        <w:ind w:firstLine="720"/>
        <w:jc w:val="both"/>
      </w:pPr>
    </w:p>
    <w:p w:rsidR="00A2560E" w:rsidRDefault="00A2560E">
      <w:pPr>
        <w:ind w:firstLine="720"/>
        <w:jc w:val="both"/>
      </w:pPr>
    </w:p>
    <w:p w:rsidR="00A2560E" w:rsidRDefault="00A2560E">
      <w:pPr>
        <w:ind w:right="540"/>
        <w:jc w:val="both"/>
      </w:pPr>
    </w:p>
    <w:p w:rsidR="00A2560E" w:rsidRDefault="00A2560E">
      <w:pPr>
        <w:jc w:val="both"/>
        <w:rPr>
          <w:rFonts w:ascii="Trebuchet MS" w:hAnsi="Trebuchet MS"/>
          <w:lang w:val="ro-RO"/>
        </w:rPr>
      </w:pPr>
    </w:p>
    <w:p w:rsidR="00A2560E" w:rsidRDefault="00A2560E">
      <w:pPr>
        <w:spacing w:after="0" w:line="240" w:lineRule="auto"/>
        <w:rPr>
          <w:rFonts w:ascii="Times New Roman" w:hAnsi="Times New Roman"/>
          <w:b/>
          <w:sz w:val="24"/>
          <w:szCs w:val="24"/>
          <w:lang w:val="ro-RO" w:eastAsia="ro-RO"/>
        </w:rPr>
      </w:pPr>
    </w:p>
    <w:sectPr w:rsidR="00A2560E">
      <w:pgSz w:w="12240" w:h="15840"/>
      <w:pgMar w:top="555"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81" w:rsidRDefault="00300E81">
      <w:pPr>
        <w:spacing w:line="240" w:lineRule="auto"/>
      </w:pPr>
      <w:r>
        <w:separator/>
      </w:r>
    </w:p>
  </w:endnote>
  <w:endnote w:type="continuationSeparator" w:id="0">
    <w:p w:rsidR="00300E81" w:rsidRDefault="00300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variable"/>
    <w:sig w:usb0="00000287" w:usb1="00000003" w:usb2="00000000" w:usb3="00000000" w:csb0="000000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81" w:rsidRDefault="00300E81">
      <w:pPr>
        <w:spacing w:after="0"/>
      </w:pPr>
      <w:r>
        <w:separator/>
      </w:r>
    </w:p>
  </w:footnote>
  <w:footnote w:type="continuationSeparator" w:id="0">
    <w:p w:rsidR="00300E81" w:rsidRDefault="00300E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02DD9"/>
    <w:rsid w:val="000039B0"/>
    <w:rsid w:val="00004BFE"/>
    <w:rsid w:val="00005E83"/>
    <w:rsid w:val="00007436"/>
    <w:rsid w:val="000108D5"/>
    <w:rsid w:val="00016AD7"/>
    <w:rsid w:val="00020C76"/>
    <w:rsid w:val="00021B0D"/>
    <w:rsid w:val="000222CA"/>
    <w:rsid w:val="000232E5"/>
    <w:rsid w:val="000251F6"/>
    <w:rsid w:val="00027804"/>
    <w:rsid w:val="00027B8A"/>
    <w:rsid w:val="00027D5B"/>
    <w:rsid w:val="00034CDD"/>
    <w:rsid w:val="00035D78"/>
    <w:rsid w:val="000370F7"/>
    <w:rsid w:val="0004553D"/>
    <w:rsid w:val="00045785"/>
    <w:rsid w:val="000471B3"/>
    <w:rsid w:val="00052683"/>
    <w:rsid w:val="00053DD2"/>
    <w:rsid w:val="0006043C"/>
    <w:rsid w:val="000632F9"/>
    <w:rsid w:val="00067CB7"/>
    <w:rsid w:val="00082554"/>
    <w:rsid w:val="000856EE"/>
    <w:rsid w:val="00087F5A"/>
    <w:rsid w:val="00092891"/>
    <w:rsid w:val="0009707A"/>
    <w:rsid w:val="000A1287"/>
    <w:rsid w:val="000A1C99"/>
    <w:rsid w:val="000A4904"/>
    <w:rsid w:val="000A4FF6"/>
    <w:rsid w:val="000A5CE4"/>
    <w:rsid w:val="000A6564"/>
    <w:rsid w:val="000B4E48"/>
    <w:rsid w:val="000C0C6D"/>
    <w:rsid w:val="000C38DB"/>
    <w:rsid w:val="000C5C0F"/>
    <w:rsid w:val="000D20AD"/>
    <w:rsid w:val="000D4901"/>
    <w:rsid w:val="000E7CA0"/>
    <w:rsid w:val="000F5904"/>
    <w:rsid w:val="001023C6"/>
    <w:rsid w:val="00105624"/>
    <w:rsid w:val="00120C17"/>
    <w:rsid w:val="00127368"/>
    <w:rsid w:val="0012798B"/>
    <w:rsid w:val="00142907"/>
    <w:rsid w:val="001455A0"/>
    <w:rsid w:val="00152DA8"/>
    <w:rsid w:val="001617D3"/>
    <w:rsid w:val="00167F13"/>
    <w:rsid w:val="0017336D"/>
    <w:rsid w:val="0019104F"/>
    <w:rsid w:val="0019161F"/>
    <w:rsid w:val="00192242"/>
    <w:rsid w:val="001A59F7"/>
    <w:rsid w:val="001A5EA5"/>
    <w:rsid w:val="001A7950"/>
    <w:rsid w:val="001B7491"/>
    <w:rsid w:val="001D03E9"/>
    <w:rsid w:val="001D7271"/>
    <w:rsid w:val="001E53F0"/>
    <w:rsid w:val="001F76B1"/>
    <w:rsid w:val="00203270"/>
    <w:rsid w:val="0020521F"/>
    <w:rsid w:val="00205452"/>
    <w:rsid w:val="002132E9"/>
    <w:rsid w:val="00216294"/>
    <w:rsid w:val="0022720F"/>
    <w:rsid w:val="002303AD"/>
    <w:rsid w:val="00231975"/>
    <w:rsid w:val="0023435F"/>
    <w:rsid w:val="00243B73"/>
    <w:rsid w:val="002456F4"/>
    <w:rsid w:val="00246CC9"/>
    <w:rsid w:val="00251039"/>
    <w:rsid w:val="00251AF7"/>
    <w:rsid w:val="002835C2"/>
    <w:rsid w:val="00283D67"/>
    <w:rsid w:val="002922C7"/>
    <w:rsid w:val="0029287E"/>
    <w:rsid w:val="002B566C"/>
    <w:rsid w:val="002B571C"/>
    <w:rsid w:val="002B57FB"/>
    <w:rsid w:val="002C7E0F"/>
    <w:rsid w:val="002D0C69"/>
    <w:rsid w:val="002D72DC"/>
    <w:rsid w:val="002E04E0"/>
    <w:rsid w:val="002F75A2"/>
    <w:rsid w:val="00300E81"/>
    <w:rsid w:val="00302D21"/>
    <w:rsid w:val="00305EAC"/>
    <w:rsid w:val="003137C7"/>
    <w:rsid w:val="00323E29"/>
    <w:rsid w:val="00323F83"/>
    <w:rsid w:val="00325984"/>
    <w:rsid w:val="00326018"/>
    <w:rsid w:val="00326B87"/>
    <w:rsid w:val="00327B24"/>
    <w:rsid w:val="00330EC0"/>
    <w:rsid w:val="00340030"/>
    <w:rsid w:val="003418C6"/>
    <w:rsid w:val="0034457D"/>
    <w:rsid w:val="00344E28"/>
    <w:rsid w:val="00345AB8"/>
    <w:rsid w:val="00346558"/>
    <w:rsid w:val="00352786"/>
    <w:rsid w:val="003623A3"/>
    <w:rsid w:val="00364D54"/>
    <w:rsid w:val="00371AB7"/>
    <w:rsid w:val="0037635F"/>
    <w:rsid w:val="00376A15"/>
    <w:rsid w:val="00394501"/>
    <w:rsid w:val="003A660E"/>
    <w:rsid w:val="003A7A09"/>
    <w:rsid w:val="003B4B02"/>
    <w:rsid w:val="003B4D0A"/>
    <w:rsid w:val="003B5679"/>
    <w:rsid w:val="003E310E"/>
    <w:rsid w:val="003E37E6"/>
    <w:rsid w:val="003F6AFB"/>
    <w:rsid w:val="00405675"/>
    <w:rsid w:val="00410053"/>
    <w:rsid w:val="00417D9F"/>
    <w:rsid w:val="004217F3"/>
    <w:rsid w:val="00424A06"/>
    <w:rsid w:val="004265F7"/>
    <w:rsid w:val="0044384D"/>
    <w:rsid w:val="00446267"/>
    <w:rsid w:val="004533D1"/>
    <w:rsid w:val="00453BB4"/>
    <w:rsid w:val="00460864"/>
    <w:rsid w:val="0046177E"/>
    <w:rsid w:val="0047370B"/>
    <w:rsid w:val="004755DE"/>
    <w:rsid w:val="00487E74"/>
    <w:rsid w:val="004953F9"/>
    <w:rsid w:val="004A27BF"/>
    <w:rsid w:val="004B15B5"/>
    <w:rsid w:val="004B1FEC"/>
    <w:rsid w:val="004B6783"/>
    <w:rsid w:val="004B69F7"/>
    <w:rsid w:val="004C762D"/>
    <w:rsid w:val="004D0F2F"/>
    <w:rsid w:val="004D1943"/>
    <w:rsid w:val="004D1A96"/>
    <w:rsid w:val="004D2518"/>
    <w:rsid w:val="004E25FD"/>
    <w:rsid w:val="004F187C"/>
    <w:rsid w:val="004F6DE9"/>
    <w:rsid w:val="00510AE1"/>
    <w:rsid w:val="00515400"/>
    <w:rsid w:val="00520EFD"/>
    <w:rsid w:val="00527DFC"/>
    <w:rsid w:val="005322F5"/>
    <w:rsid w:val="00533837"/>
    <w:rsid w:val="005363EC"/>
    <w:rsid w:val="005453F1"/>
    <w:rsid w:val="00554E60"/>
    <w:rsid w:val="005679DD"/>
    <w:rsid w:val="005778C8"/>
    <w:rsid w:val="005800C9"/>
    <w:rsid w:val="00587B50"/>
    <w:rsid w:val="00591E2B"/>
    <w:rsid w:val="005939EC"/>
    <w:rsid w:val="00593D0F"/>
    <w:rsid w:val="00594EAE"/>
    <w:rsid w:val="005961D9"/>
    <w:rsid w:val="00596918"/>
    <w:rsid w:val="00597009"/>
    <w:rsid w:val="005A3E54"/>
    <w:rsid w:val="005B43FD"/>
    <w:rsid w:val="005C28FF"/>
    <w:rsid w:val="005D18A7"/>
    <w:rsid w:val="005E7C4D"/>
    <w:rsid w:val="005F1DFE"/>
    <w:rsid w:val="005F3D1E"/>
    <w:rsid w:val="005F5A4D"/>
    <w:rsid w:val="00616286"/>
    <w:rsid w:val="00623162"/>
    <w:rsid w:val="006273D0"/>
    <w:rsid w:val="00632F24"/>
    <w:rsid w:val="00645B0F"/>
    <w:rsid w:val="00646FEC"/>
    <w:rsid w:val="0065509C"/>
    <w:rsid w:val="006562C4"/>
    <w:rsid w:val="00657114"/>
    <w:rsid w:val="0066446B"/>
    <w:rsid w:val="0068007A"/>
    <w:rsid w:val="00685C92"/>
    <w:rsid w:val="006A3588"/>
    <w:rsid w:val="006B2963"/>
    <w:rsid w:val="006B6A6C"/>
    <w:rsid w:val="006B7110"/>
    <w:rsid w:val="006C6C48"/>
    <w:rsid w:val="006D38F1"/>
    <w:rsid w:val="006D4AF7"/>
    <w:rsid w:val="006F2A95"/>
    <w:rsid w:val="006F3A22"/>
    <w:rsid w:val="006F6D53"/>
    <w:rsid w:val="00732568"/>
    <w:rsid w:val="00737353"/>
    <w:rsid w:val="00745005"/>
    <w:rsid w:val="0074705E"/>
    <w:rsid w:val="00750301"/>
    <w:rsid w:val="00755B62"/>
    <w:rsid w:val="00777008"/>
    <w:rsid w:val="00786B29"/>
    <w:rsid w:val="007A295D"/>
    <w:rsid w:val="007A3344"/>
    <w:rsid w:val="007A733C"/>
    <w:rsid w:val="007B05D1"/>
    <w:rsid w:val="007B43E4"/>
    <w:rsid w:val="007B632F"/>
    <w:rsid w:val="007C09C7"/>
    <w:rsid w:val="007C1733"/>
    <w:rsid w:val="007D5B8D"/>
    <w:rsid w:val="007D7311"/>
    <w:rsid w:val="007F6E6A"/>
    <w:rsid w:val="00801ECE"/>
    <w:rsid w:val="0081023F"/>
    <w:rsid w:val="00810745"/>
    <w:rsid w:val="00825733"/>
    <w:rsid w:val="00830AA7"/>
    <w:rsid w:val="0083285B"/>
    <w:rsid w:val="00832C0A"/>
    <w:rsid w:val="00833510"/>
    <w:rsid w:val="008401BF"/>
    <w:rsid w:val="008413A8"/>
    <w:rsid w:val="0084262A"/>
    <w:rsid w:val="00842DA4"/>
    <w:rsid w:val="00843686"/>
    <w:rsid w:val="00847107"/>
    <w:rsid w:val="0085597A"/>
    <w:rsid w:val="0085599C"/>
    <w:rsid w:val="00864186"/>
    <w:rsid w:val="00871FD6"/>
    <w:rsid w:val="0087242C"/>
    <w:rsid w:val="00890630"/>
    <w:rsid w:val="00892D84"/>
    <w:rsid w:val="0089744F"/>
    <w:rsid w:val="008A2801"/>
    <w:rsid w:val="008B3D18"/>
    <w:rsid w:val="008C3120"/>
    <w:rsid w:val="008C640B"/>
    <w:rsid w:val="008C6CB7"/>
    <w:rsid w:val="008D17FB"/>
    <w:rsid w:val="0090572C"/>
    <w:rsid w:val="00905996"/>
    <w:rsid w:val="00912F6F"/>
    <w:rsid w:val="00913FD7"/>
    <w:rsid w:val="009143FD"/>
    <w:rsid w:val="0092389E"/>
    <w:rsid w:val="00924A0B"/>
    <w:rsid w:val="009252BA"/>
    <w:rsid w:val="009352A5"/>
    <w:rsid w:val="009377CA"/>
    <w:rsid w:val="00940024"/>
    <w:rsid w:val="009560D5"/>
    <w:rsid w:val="00961132"/>
    <w:rsid w:val="0096331A"/>
    <w:rsid w:val="0097393E"/>
    <w:rsid w:val="00973DDE"/>
    <w:rsid w:val="00974D7A"/>
    <w:rsid w:val="00984FF5"/>
    <w:rsid w:val="00985C2E"/>
    <w:rsid w:val="00991553"/>
    <w:rsid w:val="009977CE"/>
    <w:rsid w:val="009A3085"/>
    <w:rsid w:val="009A65C2"/>
    <w:rsid w:val="009A6E16"/>
    <w:rsid w:val="009B773C"/>
    <w:rsid w:val="009D0908"/>
    <w:rsid w:val="009D2CEA"/>
    <w:rsid w:val="009E5159"/>
    <w:rsid w:val="009E581B"/>
    <w:rsid w:val="009F00A6"/>
    <w:rsid w:val="009F210F"/>
    <w:rsid w:val="009F52AA"/>
    <w:rsid w:val="00A04801"/>
    <w:rsid w:val="00A10089"/>
    <w:rsid w:val="00A15547"/>
    <w:rsid w:val="00A164EF"/>
    <w:rsid w:val="00A20443"/>
    <w:rsid w:val="00A2560E"/>
    <w:rsid w:val="00A25B38"/>
    <w:rsid w:val="00A303AA"/>
    <w:rsid w:val="00A523C1"/>
    <w:rsid w:val="00A54F85"/>
    <w:rsid w:val="00A577E3"/>
    <w:rsid w:val="00A65782"/>
    <w:rsid w:val="00A669C7"/>
    <w:rsid w:val="00A72B00"/>
    <w:rsid w:val="00A752D2"/>
    <w:rsid w:val="00A81097"/>
    <w:rsid w:val="00A84CAA"/>
    <w:rsid w:val="00A90B62"/>
    <w:rsid w:val="00A951F2"/>
    <w:rsid w:val="00AB1821"/>
    <w:rsid w:val="00AC7053"/>
    <w:rsid w:val="00AD1E5F"/>
    <w:rsid w:val="00AE1B05"/>
    <w:rsid w:val="00AE37E8"/>
    <w:rsid w:val="00AF14D7"/>
    <w:rsid w:val="00AF49F1"/>
    <w:rsid w:val="00AF6268"/>
    <w:rsid w:val="00AF6FCA"/>
    <w:rsid w:val="00B03EBE"/>
    <w:rsid w:val="00B10CBB"/>
    <w:rsid w:val="00B16CB3"/>
    <w:rsid w:val="00B21D5B"/>
    <w:rsid w:val="00B26CA8"/>
    <w:rsid w:val="00B2729A"/>
    <w:rsid w:val="00B32C95"/>
    <w:rsid w:val="00B35DEF"/>
    <w:rsid w:val="00B45BE1"/>
    <w:rsid w:val="00B51AB0"/>
    <w:rsid w:val="00B60B65"/>
    <w:rsid w:val="00B67164"/>
    <w:rsid w:val="00B748F3"/>
    <w:rsid w:val="00B87E84"/>
    <w:rsid w:val="00B94C0C"/>
    <w:rsid w:val="00BA4E60"/>
    <w:rsid w:val="00BA55FC"/>
    <w:rsid w:val="00BB0C1C"/>
    <w:rsid w:val="00BD6879"/>
    <w:rsid w:val="00BF7BC9"/>
    <w:rsid w:val="00C00BFF"/>
    <w:rsid w:val="00C018BD"/>
    <w:rsid w:val="00C03F52"/>
    <w:rsid w:val="00C077CD"/>
    <w:rsid w:val="00C135D5"/>
    <w:rsid w:val="00C16FF7"/>
    <w:rsid w:val="00C23E95"/>
    <w:rsid w:val="00C333DD"/>
    <w:rsid w:val="00C4091D"/>
    <w:rsid w:val="00C46F74"/>
    <w:rsid w:val="00C53A4E"/>
    <w:rsid w:val="00C56C78"/>
    <w:rsid w:val="00C66852"/>
    <w:rsid w:val="00C6715F"/>
    <w:rsid w:val="00C71801"/>
    <w:rsid w:val="00C777EB"/>
    <w:rsid w:val="00C77A71"/>
    <w:rsid w:val="00C81008"/>
    <w:rsid w:val="00C8471C"/>
    <w:rsid w:val="00C93D9D"/>
    <w:rsid w:val="00C969FC"/>
    <w:rsid w:val="00CB739F"/>
    <w:rsid w:val="00CD0139"/>
    <w:rsid w:val="00CD6709"/>
    <w:rsid w:val="00CE5A96"/>
    <w:rsid w:val="00CE6810"/>
    <w:rsid w:val="00CE6DC2"/>
    <w:rsid w:val="00CF2910"/>
    <w:rsid w:val="00D014B1"/>
    <w:rsid w:val="00D07B46"/>
    <w:rsid w:val="00D12804"/>
    <w:rsid w:val="00D12F0F"/>
    <w:rsid w:val="00D21308"/>
    <w:rsid w:val="00D252E2"/>
    <w:rsid w:val="00D25CFB"/>
    <w:rsid w:val="00D34601"/>
    <w:rsid w:val="00D35485"/>
    <w:rsid w:val="00D45BB1"/>
    <w:rsid w:val="00D466F2"/>
    <w:rsid w:val="00D657DA"/>
    <w:rsid w:val="00D72E8B"/>
    <w:rsid w:val="00D77C0C"/>
    <w:rsid w:val="00D82E80"/>
    <w:rsid w:val="00D87198"/>
    <w:rsid w:val="00D87EBC"/>
    <w:rsid w:val="00D92CAD"/>
    <w:rsid w:val="00D9441B"/>
    <w:rsid w:val="00DA676B"/>
    <w:rsid w:val="00DB15A2"/>
    <w:rsid w:val="00DD1E65"/>
    <w:rsid w:val="00DD6435"/>
    <w:rsid w:val="00DE7687"/>
    <w:rsid w:val="00DF30FC"/>
    <w:rsid w:val="00DF3ADD"/>
    <w:rsid w:val="00DF784F"/>
    <w:rsid w:val="00DF7C08"/>
    <w:rsid w:val="00E04DB1"/>
    <w:rsid w:val="00E14E70"/>
    <w:rsid w:val="00E24BE0"/>
    <w:rsid w:val="00E26370"/>
    <w:rsid w:val="00E4572D"/>
    <w:rsid w:val="00E46D65"/>
    <w:rsid w:val="00E46E34"/>
    <w:rsid w:val="00E50D18"/>
    <w:rsid w:val="00E53E76"/>
    <w:rsid w:val="00E55805"/>
    <w:rsid w:val="00E56715"/>
    <w:rsid w:val="00E642D6"/>
    <w:rsid w:val="00E661C0"/>
    <w:rsid w:val="00E72747"/>
    <w:rsid w:val="00E80C36"/>
    <w:rsid w:val="00E85378"/>
    <w:rsid w:val="00E85F6F"/>
    <w:rsid w:val="00E96EE0"/>
    <w:rsid w:val="00EA1121"/>
    <w:rsid w:val="00EA4968"/>
    <w:rsid w:val="00EB39BA"/>
    <w:rsid w:val="00EB63DD"/>
    <w:rsid w:val="00EC7724"/>
    <w:rsid w:val="00ED44C2"/>
    <w:rsid w:val="00EE2FCC"/>
    <w:rsid w:val="00EE5543"/>
    <w:rsid w:val="00F024F8"/>
    <w:rsid w:val="00F05728"/>
    <w:rsid w:val="00F1491E"/>
    <w:rsid w:val="00F27425"/>
    <w:rsid w:val="00F35D7E"/>
    <w:rsid w:val="00F35DE6"/>
    <w:rsid w:val="00F430C4"/>
    <w:rsid w:val="00F441FA"/>
    <w:rsid w:val="00F44DB1"/>
    <w:rsid w:val="00F542A1"/>
    <w:rsid w:val="00F54CEB"/>
    <w:rsid w:val="00F64DDE"/>
    <w:rsid w:val="00F80995"/>
    <w:rsid w:val="00F80B11"/>
    <w:rsid w:val="00F8352B"/>
    <w:rsid w:val="00F90F22"/>
    <w:rsid w:val="00F92B22"/>
    <w:rsid w:val="00F9660A"/>
    <w:rsid w:val="00F96AA4"/>
    <w:rsid w:val="00FA3C02"/>
    <w:rsid w:val="00FA44C8"/>
    <w:rsid w:val="00FA7F21"/>
    <w:rsid w:val="00FC30C4"/>
    <w:rsid w:val="00FD57F5"/>
    <w:rsid w:val="00FD69A3"/>
    <w:rsid w:val="00FE4BC9"/>
    <w:rsid w:val="00FE518B"/>
    <w:rsid w:val="00FF6299"/>
    <w:rsid w:val="219537A4"/>
    <w:rsid w:val="42467E33"/>
    <w:rsid w:val="4671464D"/>
    <w:rsid w:val="50BA1C5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44F4A-9511-4DB0-B1D0-5E2AA05A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unhideWhenUsed="1"/>
    <w:lsdException w:name="footer" w:uiPriority="99"/>
    <w:lsdException w:name="caption" w:locked="1" w:semiHidden="1" w:unhideWhenUsed="1" w:qFormat="1"/>
    <w:lsdException w:name="footnote reference" w:uiPriority="99" w:unhideWhenUsed="1" w:qFormat="1"/>
    <w:lsdException w:name="annotation reference" w:qFormat="1"/>
    <w:lsdException w:name="Title" w:qFormat="1"/>
    <w:lsdException w:name="Default Paragraph Font" w:semiHidden="1" w:uiPriority="1" w:unhideWhenUsed="1"/>
    <w:lsdException w:name="Subtitle" w:locked="1" w:qFormat="1"/>
    <w:lsdException w:name="Hyperlink" w:semiHidden="1"/>
    <w:lsdException w:name="Strong" w:locked="1" w:uiPriority="22" w:qFormat="1"/>
    <w:lsdException w:name="Emphasis" w:locked="1"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sz w:val="22"/>
      <w:szCs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pPr>
      <w:keepNext/>
      <w:spacing w:after="0" w:line="240" w:lineRule="auto"/>
      <w:jc w:val="center"/>
      <w:outlineLvl w:val="1"/>
    </w:pPr>
    <w:rPr>
      <w:rFonts w:ascii="Times New Roman" w:eastAsia="Calibri" w:hAnsi="Times New Roman"/>
      <w:b/>
      <w:sz w:val="20"/>
      <w:szCs w:val="20"/>
      <w:lang w:val="en-GB" w:eastAsia="zh-CN"/>
    </w:rPr>
  </w:style>
  <w:style w:type="paragraph" w:styleId="Heading3">
    <w:name w:val="heading 3"/>
    <w:basedOn w:val="Normal"/>
    <w:next w:val="Normal"/>
    <w:link w:val="Heading3Char"/>
    <w:semiHidden/>
    <w:unhideWhenUsed/>
    <w:qFormat/>
    <w:locked/>
    <w:pPr>
      <w:keepNext/>
      <w:spacing w:before="240" w:after="60" w:line="240"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Segoe UI" w:eastAsia="Calibri" w:hAnsi="Segoe UI"/>
      <w:sz w:val="18"/>
      <w:szCs w:val="18"/>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pPr>
      <w:spacing w:after="0" w:line="240" w:lineRule="auto"/>
    </w:pPr>
    <w:rPr>
      <w:rFonts w:eastAsia="Calibri"/>
      <w:sz w:val="20"/>
      <w:szCs w:val="20"/>
      <w:lang w:val="zh-CN" w:eastAsia="zh-CN"/>
    </w:rPr>
  </w:style>
  <w:style w:type="paragraph" w:styleId="Header">
    <w:name w:val="header"/>
    <w:basedOn w:val="Normal"/>
    <w:link w:val="HeaderChar"/>
    <w:pPr>
      <w:tabs>
        <w:tab w:val="center" w:pos="4680"/>
        <w:tab w:val="right" w:pos="9360"/>
      </w:tabs>
    </w:pPr>
  </w:style>
  <w:style w:type="character" w:styleId="Hyperlink">
    <w:name w:val="Hyperlink"/>
    <w:semiHidden/>
    <w:rPr>
      <w:rFonts w:cs="Times New Roman"/>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Pr>
      <w:b/>
      <w:bCs/>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Calibri" w:hAnsi="Times New Roman"/>
      <w:b/>
      <w:bCs/>
      <w:sz w:val="24"/>
      <w:szCs w:val="24"/>
      <w:lang w:val="ro-RO" w:eastAsia="zh-CN"/>
    </w:rPr>
  </w:style>
  <w:style w:type="character" w:customStyle="1" w:styleId="Heading1Char">
    <w:name w:val="Heading 1 Char"/>
    <w:link w:val="Heading1"/>
    <w:qFormat/>
    <w:locked/>
    <w:rPr>
      <w:rFonts w:ascii="Times New Roman" w:hAnsi="Times New Roman" w:cs="Times New Roman"/>
      <w:b/>
      <w:bCs/>
      <w:sz w:val="24"/>
      <w:szCs w:val="24"/>
      <w:lang w:val="fr-FR" w:eastAsia="ro-RO"/>
    </w:rPr>
  </w:style>
  <w:style w:type="character" w:customStyle="1" w:styleId="Heading2Char">
    <w:name w:val="Heading 2 Char"/>
    <w:link w:val="Heading2"/>
    <w:locked/>
    <w:rPr>
      <w:rFonts w:ascii="Times New Roman" w:hAnsi="Times New Roman" w:cs="Times New Roman"/>
      <w:b/>
      <w:sz w:val="20"/>
      <w:szCs w:val="20"/>
      <w:lang w:val="en-GB" w:eastAsia="zh-CN"/>
    </w:rPr>
  </w:style>
  <w:style w:type="character" w:customStyle="1" w:styleId="l5def3">
    <w:name w:val="l5def3"/>
    <w:rPr>
      <w:rFonts w:ascii="Arial" w:hAnsi="Arial" w:cs="Arial"/>
      <w:color w:val="000000"/>
      <w:sz w:val="26"/>
      <w:szCs w:val="26"/>
    </w:rPr>
  </w:style>
  <w:style w:type="character" w:customStyle="1" w:styleId="l5def6">
    <w:name w:val="l5def6"/>
    <w:rPr>
      <w:rFonts w:ascii="Arial" w:hAnsi="Arial" w:cs="Arial"/>
      <w:color w:val="000000"/>
      <w:sz w:val="26"/>
      <w:szCs w:val="26"/>
    </w:rPr>
  </w:style>
  <w:style w:type="character" w:customStyle="1" w:styleId="TitleChar">
    <w:name w:val="Title Char"/>
    <w:link w:val="Title"/>
    <w:locked/>
    <w:rPr>
      <w:rFonts w:ascii="Times New Roman" w:hAnsi="Times New Roman" w:cs="Times New Roman"/>
      <w:b/>
      <w:bCs/>
      <w:sz w:val="24"/>
      <w:szCs w:val="24"/>
      <w:lang w:val="ro-RO" w:eastAsia="zh-CN"/>
    </w:rPr>
  </w:style>
  <w:style w:type="paragraph" w:styleId="ListParagraph">
    <w:name w:val="List Paragraph"/>
    <w:basedOn w:val="Normal"/>
    <w:link w:val="ListParagraphChar"/>
    <w:uiPriority w:val="34"/>
    <w:qFormat/>
    <w:pPr>
      <w:ind w:left="720"/>
      <w:contextualSpacing/>
    </w:pPr>
  </w:style>
  <w:style w:type="character" w:customStyle="1" w:styleId="preambul1">
    <w:name w:val="preambul1"/>
    <w:qFormat/>
    <w:rPr>
      <w:i/>
      <w:color w:val="000000"/>
    </w:rPr>
  </w:style>
  <w:style w:type="character" w:customStyle="1" w:styleId="l5def1">
    <w:name w:val="l5def1"/>
    <w:rPr>
      <w:rFonts w:ascii="Arial" w:hAnsi="Arial" w:cs="Arial"/>
      <w:color w:val="000000"/>
      <w:sz w:val="26"/>
      <w:szCs w:val="26"/>
    </w:rPr>
  </w:style>
  <w:style w:type="character" w:customStyle="1" w:styleId="l5def2">
    <w:name w:val="l5def2"/>
    <w:qFormat/>
    <w:rPr>
      <w:rFonts w:ascii="Arial" w:hAnsi="Arial" w:cs="Arial"/>
      <w:color w:val="000000"/>
      <w:sz w:val="26"/>
      <w:szCs w:val="26"/>
    </w:rPr>
  </w:style>
  <w:style w:type="character" w:customStyle="1" w:styleId="l5def4">
    <w:name w:val="l5def4"/>
    <w:qFormat/>
    <w:rPr>
      <w:rFonts w:ascii="Arial" w:hAnsi="Arial" w:cs="Arial"/>
      <w:color w:val="000000"/>
      <w:sz w:val="26"/>
      <w:szCs w:val="2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FontStyle16">
    <w:name w:val="Font Style16"/>
    <w:rPr>
      <w:rFonts w:ascii="Times New Roman" w:hAnsi="Times New Roman" w:cs="Times New Roman"/>
      <w:sz w:val="22"/>
      <w:szCs w:val="22"/>
    </w:rPr>
  </w:style>
  <w:style w:type="character" w:customStyle="1" w:styleId="l5tlu1">
    <w:name w:val="l5tlu1"/>
    <w:rPr>
      <w:b/>
      <w:bCs/>
      <w:color w:val="000000"/>
      <w:sz w:val="32"/>
      <w:szCs w:val="32"/>
    </w:rPr>
  </w:style>
  <w:style w:type="character" w:customStyle="1" w:styleId="HeaderChar">
    <w:name w:val="Header Char"/>
    <w:link w:val="Header"/>
    <w:rPr>
      <w:rFonts w:eastAsia="Times New Roman"/>
      <w:sz w:val="22"/>
      <w:szCs w:val="22"/>
    </w:rPr>
  </w:style>
  <w:style w:type="character" w:customStyle="1" w:styleId="FooterChar">
    <w:name w:val="Footer Char"/>
    <w:link w:val="Footer"/>
    <w:uiPriority w:val="99"/>
    <w:rPr>
      <w:rFonts w:eastAsia="Times New Roman"/>
      <w:sz w:val="22"/>
      <w:szCs w:val="22"/>
    </w:rPr>
  </w:style>
  <w:style w:type="character" w:customStyle="1" w:styleId="CommentTextChar">
    <w:name w:val="Comment Text Char"/>
    <w:link w:val="CommentText"/>
    <w:rPr>
      <w:rFonts w:eastAsia="Times New Roman"/>
    </w:rPr>
  </w:style>
  <w:style w:type="character" w:customStyle="1" w:styleId="CommentSubjectChar">
    <w:name w:val="Comment Subject Char"/>
    <w:link w:val="CommentSubject"/>
    <w:rPr>
      <w:rFonts w:eastAsia="Times New Roman"/>
      <w:b/>
      <w:bCs/>
    </w:rPr>
  </w:style>
  <w:style w:type="character" w:customStyle="1" w:styleId="ListParagraphChar">
    <w:name w:val="List Paragraph Char"/>
    <w:link w:val="ListParagraph"/>
    <w:uiPriority w:val="34"/>
    <w:locked/>
    <w:rPr>
      <w:rFonts w:eastAsia="Times New Roman"/>
      <w:sz w:val="22"/>
      <w:szCs w:val="22"/>
    </w:rPr>
  </w:style>
  <w:style w:type="character" w:customStyle="1" w:styleId="FootnoteTextChar">
    <w:name w:val="Footnote Text Char"/>
    <w:link w:val="FootnoteText"/>
    <w:uiPriority w:val="99"/>
    <w:rPr>
      <w:lang w:val="zh-CN" w:eastAsia="zh-CN"/>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customStyle="1" w:styleId="salnbdy">
    <w:name w:val="s_aln_bdy"/>
  </w:style>
  <w:style w:type="character" w:customStyle="1" w:styleId="l5def">
    <w:name w:val="l5def"/>
  </w:style>
  <w:style w:type="character" w:customStyle="1" w:styleId="l5prm1">
    <w:name w:val="l5prm1"/>
    <w:rPr>
      <w:i/>
      <w:iCs/>
      <w:color w:val="000000"/>
      <w:sz w:val="26"/>
      <w:szCs w:val="26"/>
    </w:rPr>
  </w:style>
  <w:style w:type="character" w:customStyle="1" w:styleId="Heading3Char">
    <w:name w:val="Heading 3 Char"/>
    <w:basedOn w:val="DefaultParagraphFont"/>
    <w:link w:val="Heading3"/>
    <w:semiHidden/>
    <w:rPr>
      <w:rFonts w:ascii="Calibri Light" w:eastAsia="Times New Roman" w:hAnsi="Calibri Light"/>
      <w:b/>
      <w:bCs/>
      <w:sz w:val="26"/>
      <w:szCs w:val="26"/>
      <w:lang w:val="en-US" w:eastAsia="en-US"/>
    </w:rPr>
  </w:style>
  <w:style w:type="character" w:customStyle="1" w:styleId="InternetLink">
    <w:name w:val="Internet 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1EB7-26DB-49F4-8297-CCE162B8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Elena Voicu</dc:creator>
  <cp:lastModifiedBy>Mihaela Machita</cp:lastModifiedBy>
  <cp:revision>9</cp:revision>
  <cp:lastPrinted>2023-02-27T11:48:00Z</cp:lastPrinted>
  <dcterms:created xsi:type="dcterms:W3CDTF">2023-02-20T09:24:00Z</dcterms:created>
  <dcterms:modified xsi:type="dcterms:W3CDTF">2023-02-27T11:58:00Z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9A5C906ED3C74EA287B65DD68D27C1F0</vt:lpwstr>
  </property>
</Properties>
</file>