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1C8B4" w14:textId="710E7F5D" w:rsidR="00E61D40" w:rsidRPr="004E0101" w:rsidRDefault="00E61D40" w:rsidP="00F32863">
      <w:pPr>
        <w:ind w:left="708" w:firstLine="708"/>
        <w:jc w:val="right"/>
        <w:rPr>
          <w:b/>
          <w:noProof/>
        </w:rPr>
      </w:pPr>
      <w:r w:rsidRPr="004E0101">
        <w:rPr>
          <w:b/>
          <w:noProof/>
        </w:rPr>
        <w:t>Anexa  ...........................</w:t>
      </w:r>
    </w:p>
    <w:p w14:paraId="41AD966E" w14:textId="77777777" w:rsidR="00D92D51" w:rsidRPr="004E0101" w:rsidRDefault="00D92D51" w:rsidP="00D92D51">
      <w:pPr>
        <w:jc w:val="right"/>
        <w:rPr>
          <w:b/>
          <w:noProof/>
        </w:rPr>
      </w:pPr>
    </w:p>
    <w:p w14:paraId="29AD755C" w14:textId="77777777" w:rsidR="00D92D51" w:rsidRPr="004E0101" w:rsidRDefault="00D92D51" w:rsidP="00D92D51">
      <w:pPr>
        <w:jc w:val="center"/>
        <w:rPr>
          <w:b/>
          <w:noProof/>
        </w:rPr>
      </w:pPr>
      <w:r w:rsidRPr="004E0101">
        <w:rPr>
          <w:b/>
          <w:noProof/>
        </w:rPr>
        <w:t>CARACTERISTICILE PRINCIPALE ŞI INDICATORII</w:t>
      </w:r>
    </w:p>
    <w:p w14:paraId="7E7C09E2" w14:textId="64DE6682" w:rsidR="00D92D51" w:rsidRPr="004E0101" w:rsidRDefault="00D92D51" w:rsidP="00D92D51">
      <w:pPr>
        <w:jc w:val="center"/>
        <w:rPr>
          <w:b/>
          <w:noProof/>
        </w:rPr>
      </w:pPr>
      <w:r w:rsidRPr="004E0101">
        <w:rPr>
          <w:b/>
          <w:noProof/>
        </w:rPr>
        <w:t xml:space="preserve">TEHNICO – ECONOMICI AI </w:t>
      </w:r>
      <w:r w:rsidR="0051229A">
        <w:rPr>
          <w:b/>
          <w:noProof/>
        </w:rPr>
        <w:t>OBIECTIVULUI DE INVESTIȚII</w:t>
      </w:r>
    </w:p>
    <w:p w14:paraId="77941D88" w14:textId="77777777" w:rsidR="00D92D51" w:rsidRPr="004E0101" w:rsidRDefault="00D92D51" w:rsidP="00D92D51">
      <w:pPr>
        <w:jc w:val="center"/>
        <w:rPr>
          <w:b/>
          <w:noProof/>
        </w:rPr>
      </w:pPr>
    </w:p>
    <w:p w14:paraId="35314779" w14:textId="77777777" w:rsidR="004A68D5" w:rsidRDefault="004A68D5" w:rsidP="00DB0770">
      <w:pPr>
        <w:jc w:val="center"/>
        <w:rPr>
          <w:b/>
          <w:i/>
          <w:noProof/>
        </w:rPr>
      </w:pPr>
      <w:r>
        <w:rPr>
          <w:b/>
          <w:i/>
          <w:noProof/>
        </w:rPr>
        <w:t>”</w:t>
      </w:r>
      <w:r w:rsidR="00CD32A3" w:rsidRPr="004E0101">
        <w:rPr>
          <w:b/>
          <w:i/>
          <w:noProof/>
        </w:rPr>
        <w:t>MODERNIZAREA / REABILITAREA A 47 DE STAȚII DE CALE FERATĂ DIN ROMÂNIA</w:t>
      </w:r>
      <w:r w:rsidR="004E0101">
        <w:rPr>
          <w:b/>
          <w:i/>
          <w:noProof/>
        </w:rPr>
        <w:t>”</w:t>
      </w:r>
      <w:r w:rsidR="00CD32A3" w:rsidRPr="004E0101">
        <w:rPr>
          <w:b/>
          <w:i/>
          <w:noProof/>
        </w:rPr>
        <w:t xml:space="preserve"> </w:t>
      </w:r>
    </w:p>
    <w:p w14:paraId="083DE31F" w14:textId="3E8FB75C" w:rsidR="00DB0770" w:rsidRPr="004E0101" w:rsidRDefault="00CD32A3" w:rsidP="00DB0770">
      <w:pPr>
        <w:jc w:val="center"/>
        <w:rPr>
          <w:b/>
          <w:i/>
          <w:noProof/>
        </w:rPr>
      </w:pPr>
      <w:r w:rsidRPr="004E0101">
        <w:rPr>
          <w:b/>
          <w:i/>
          <w:noProof/>
        </w:rPr>
        <w:t>–</w:t>
      </w:r>
      <w:r w:rsidR="004A68D5">
        <w:rPr>
          <w:b/>
          <w:i/>
          <w:noProof/>
        </w:rPr>
        <w:t xml:space="preserve"> </w:t>
      </w:r>
      <w:r w:rsidRPr="004E0101">
        <w:rPr>
          <w:b/>
          <w:i/>
          <w:noProof/>
        </w:rPr>
        <w:t>LOT SRCF BUCURE</w:t>
      </w:r>
      <w:bookmarkStart w:id="0" w:name="_GoBack"/>
      <w:bookmarkEnd w:id="0"/>
      <w:r w:rsidRPr="004E0101">
        <w:rPr>
          <w:b/>
          <w:i/>
          <w:noProof/>
        </w:rPr>
        <w:t xml:space="preserve">ȘTI - </w:t>
      </w:r>
      <w:r w:rsidR="00DB0770" w:rsidRPr="004E0101">
        <w:rPr>
          <w:b/>
          <w:i/>
          <w:noProof/>
        </w:rPr>
        <w:t xml:space="preserve">STAȚIILE CF </w:t>
      </w:r>
    </w:p>
    <w:p w14:paraId="493EC15A" w14:textId="77777777" w:rsidR="009C5C7B" w:rsidRPr="004E0101" w:rsidRDefault="00DB0770" w:rsidP="00DB0770">
      <w:pPr>
        <w:jc w:val="center"/>
        <w:rPr>
          <w:b/>
          <w:i/>
          <w:noProof/>
        </w:rPr>
      </w:pPr>
      <w:r w:rsidRPr="004E0101">
        <w:rPr>
          <w:b/>
          <w:i/>
          <w:noProof/>
        </w:rPr>
        <w:t>PLOIEȘTI VEST, SINAIA, BUȘTENI, TÂRGOVIȘTE SUD, TITU, VIDELE</w:t>
      </w:r>
    </w:p>
    <w:p w14:paraId="078C702B" w14:textId="77777777" w:rsidR="00E309B1" w:rsidRPr="004E0101" w:rsidRDefault="00E309B1" w:rsidP="00D92D51">
      <w:pPr>
        <w:jc w:val="center"/>
        <w:rPr>
          <w:noProof/>
          <w:color w:val="FF0000"/>
        </w:rPr>
      </w:pPr>
    </w:p>
    <w:p w14:paraId="31B7C643" w14:textId="77777777" w:rsidR="00D92D51" w:rsidRPr="004E0101" w:rsidRDefault="00D92D51" w:rsidP="00D92D51">
      <w:pPr>
        <w:jc w:val="center"/>
        <w:rPr>
          <w:b/>
          <w:noProof/>
          <w:color w:val="FF0000"/>
        </w:rPr>
      </w:pPr>
      <w:r w:rsidRPr="004E0101">
        <w:rPr>
          <w:noProof/>
          <w:color w:val="FF0000"/>
        </w:rPr>
        <w:t xml:space="preserve">            </w:t>
      </w:r>
    </w:p>
    <w:tbl>
      <w:tblPr>
        <w:tblW w:w="9180" w:type="dxa"/>
        <w:tblInd w:w="288" w:type="dxa"/>
        <w:tblLook w:val="0000" w:firstRow="0" w:lastRow="0" w:firstColumn="0" w:lastColumn="0" w:noHBand="0" w:noVBand="0"/>
      </w:tblPr>
      <w:tblGrid>
        <w:gridCol w:w="2700"/>
        <w:gridCol w:w="6480"/>
      </w:tblGrid>
      <w:tr w:rsidR="00D92D51" w:rsidRPr="004E0101" w14:paraId="2FD4E504" w14:textId="77777777">
        <w:trPr>
          <w:trHeight w:val="360"/>
        </w:trPr>
        <w:tc>
          <w:tcPr>
            <w:tcW w:w="2700" w:type="dxa"/>
          </w:tcPr>
          <w:p w14:paraId="723DCB5C" w14:textId="77777777" w:rsidR="00D92D51" w:rsidRPr="004E0101" w:rsidRDefault="00D92D51" w:rsidP="00E1505A">
            <w:pPr>
              <w:rPr>
                <w:b/>
                <w:bCs/>
                <w:noProof/>
              </w:rPr>
            </w:pPr>
            <w:r w:rsidRPr="004E0101">
              <w:rPr>
                <w:b/>
                <w:noProof/>
              </w:rPr>
              <w:t>TITULAR:</w:t>
            </w:r>
          </w:p>
        </w:tc>
        <w:tc>
          <w:tcPr>
            <w:tcW w:w="6480" w:type="dxa"/>
          </w:tcPr>
          <w:p w14:paraId="47AF6C27" w14:textId="77777777" w:rsidR="00D92D51" w:rsidRPr="004E0101" w:rsidRDefault="00D92D51" w:rsidP="00E84735">
            <w:pPr>
              <w:jc w:val="both"/>
              <w:rPr>
                <w:noProof/>
              </w:rPr>
            </w:pPr>
            <w:r w:rsidRPr="004E0101">
              <w:rPr>
                <w:noProof/>
              </w:rPr>
              <w:t xml:space="preserve">Ministerul Transporturilor </w:t>
            </w:r>
            <w:r w:rsidR="00FD74BC" w:rsidRPr="004E0101">
              <w:rPr>
                <w:noProof/>
              </w:rPr>
              <w:t>și Infrastructurii</w:t>
            </w:r>
          </w:p>
        </w:tc>
      </w:tr>
      <w:tr w:rsidR="00D92D51" w:rsidRPr="004E0101" w14:paraId="5727D94E" w14:textId="77777777" w:rsidTr="009C25DE">
        <w:trPr>
          <w:trHeight w:val="301"/>
        </w:trPr>
        <w:tc>
          <w:tcPr>
            <w:tcW w:w="2700" w:type="dxa"/>
          </w:tcPr>
          <w:p w14:paraId="1562A3EC" w14:textId="77777777" w:rsidR="00D92D51" w:rsidRPr="004E0101" w:rsidRDefault="00D92D51" w:rsidP="00E1505A">
            <w:pPr>
              <w:rPr>
                <w:b/>
                <w:bCs/>
                <w:noProof/>
              </w:rPr>
            </w:pPr>
            <w:r w:rsidRPr="004E0101">
              <w:rPr>
                <w:b/>
                <w:noProof/>
              </w:rPr>
              <w:t>BENEFICIAR:</w:t>
            </w:r>
          </w:p>
        </w:tc>
        <w:tc>
          <w:tcPr>
            <w:tcW w:w="6480" w:type="dxa"/>
          </w:tcPr>
          <w:p w14:paraId="04374392" w14:textId="77777777" w:rsidR="00D92D51" w:rsidRPr="004E0101" w:rsidRDefault="00D92D51" w:rsidP="00D92D51">
            <w:pPr>
              <w:jc w:val="both"/>
              <w:rPr>
                <w:noProof/>
              </w:rPr>
            </w:pPr>
            <w:r w:rsidRPr="004E0101">
              <w:rPr>
                <w:noProof/>
              </w:rPr>
              <w:t>Compania Naţională de Căi Ferate ”C.F.R.” – S.A.</w:t>
            </w:r>
          </w:p>
        </w:tc>
      </w:tr>
      <w:tr w:rsidR="00DB0770" w:rsidRPr="004E0101" w14:paraId="780316EB" w14:textId="77777777">
        <w:trPr>
          <w:trHeight w:val="360"/>
        </w:trPr>
        <w:tc>
          <w:tcPr>
            <w:tcW w:w="2700" w:type="dxa"/>
          </w:tcPr>
          <w:p w14:paraId="2EC8780D" w14:textId="77777777" w:rsidR="00D92D51" w:rsidRPr="004E0101" w:rsidRDefault="00D92D51" w:rsidP="00E1505A">
            <w:pPr>
              <w:rPr>
                <w:b/>
                <w:bCs/>
                <w:noProof/>
              </w:rPr>
            </w:pPr>
            <w:r w:rsidRPr="004E0101">
              <w:rPr>
                <w:b/>
                <w:bCs/>
                <w:noProof/>
              </w:rPr>
              <w:t>AMPLASAMENT:</w:t>
            </w:r>
          </w:p>
        </w:tc>
        <w:tc>
          <w:tcPr>
            <w:tcW w:w="6480" w:type="dxa"/>
          </w:tcPr>
          <w:p w14:paraId="5BB26815" w14:textId="77777777" w:rsidR="00DB0770" w:rsidRPr="004E0101" w:rsidRDefault="00DB0770" w:rsidP="00DB0770">
            <w:pPr>
              <w:jc w:val="both"/>
              <w:rPr>
                <w:noProof/>
              </w:rPr>
            </w:pPr>
            <w:r w:rsidRPr="004E0101">
              <w:rPr>
                <w:noProof/>
              </w:rPr>
              <w:t>Ploiești Vest, Bușteni și Sinaia - județul Prahova</w:t>
            </w:r>
          </w:p>
          <w:p w14:paraId="664FD3E7" w14:textId="77777777" w:rsidR="00DB0770" w:rsidRPr="004E0101" w:rsidRDefault="00DB0770" w:rsidP="00DB0770">
            <w:pPr>
              <w:jc w:val="both"/>
              <w:rPr>
                <w:noProof/>
              </w:rPr>
            </w:pPr>
            <w:r w:rsidRPr="004E0101">
              <w:rPr>
                <w:noProof/>
              </w:rPr>
              <w:t>Târgoviște Sud și Titu - județul Dâmbovița</w:t>
            </w:r>
          </w:p>
          <w:p w14:paraId="1F8142CD" w14:textId="77777777" w:rsidR="003E05A8" w:rsidRPr="004E0101" w:rsidRDefault="00DB0770" w:rsidP="00DB0770">
            <w:pPr>
              <w:jc w:val="both"/>
              <w:rPr>
                <w:noProof/>
              </w:rPr>
            </w:pPr>
            <w:r w:rsidRPr="004E0101">
              <w:rPr>
                <w:noProof/>
              </w:rPr>
              <w:t xml:space="preserve">Videle - județul Teleorman </w:t>
            </w:r>
          </w:p>
          <w:p w14:paraId="3CEC6BF1" w14:textId="77777777" w:rsidR="00E309B1" w:rsidRPr="004E0101" w:rsidRDefault="00E309B1" w:rsidP="00DB0770">
            <w:pPr>
              <w:jc w:val="both"/>
              <w:rPr>
                <w:noProof/>
              </w:rPr>
            </w:pPr>
          </w:p>
          <w:p w14:paraId="54F5E29A" w14:textId="77777777" w:rsidR="00DC55E8" w:rsidRPr="004E0101" w:rsidRDefault="00DC55E8" w:rsidP="00DB0770">
            <w:pPr>
              <w:jc w:val="both"/>
              <w:rPr>
                <w:noProof/>
              </w:rPr>
            </w:pPr>
          </w:p>
        </w:tc>
      </w:tr>
    </w:tbl>
    <w:p w14:paraId="29932192" w14:textId="77777777" w:rsidR="00D92D51" w:rsidRPr="004E0101" w:rsidRDefault="00D92D51" w:rsidP="003A320B">
      <w:pPr>
        <w:jc w:val="center"/>
        <w:rPr>
          <w:b/>
          <w:noProof/>
        </w:rPr>
      </w:pPr>
      <w:bookmarkStart w:id="1" w:name="_Hlk89959040"/>
      <w:r w:rsidRPr="004E0101">
        <w:rPr>
          <w:b/>
          <w:noProof/>
        </w:rPr>
        <w:t>INDICATORI TEHNICO-ECONOMICI</w:t>
      </w:r>
    </w:p>
    <w:p w14:paraId="0C7B9C9C" w14:textId="77777777" w:rsidR="00A40384" w:rsidRPr="004E0101" w:rsidRDefault="00A40384" w:rsidP="003A320B">
      <w:pPr>
        <w:jc w:val="center"/>
        <w:rPr>
          <w:b/>
          <w:noProof/>
        </w:rPr>
      </w:pPr>
    </w:p>
    <w:tbl>
      <w:tblPr>
        <w:tblW w:w="10154" w:type="dxa"/>
        <w:tblCellMar>
          <w:left w:w="0" w:type="dxa"/>
          <w:right w:w="0" w:type="dxa"/>
        </w:tblCellMar>
        <w:tblLook w:val="04A0" w:firstRow="1" w:lastRow="0" w:firstColumn="1" w:lastColumn="0" w:noHBand="0" w:noVBand="1"/>
      </w:tblPr>
      <w:tblGrid>
        <w:gridCol w:w="6215"/>
        <w:gridCol w:w="2070"/>
        <w:gridCol w:w="1869"/>
      </w:tblGrid>
      <w:tr w:rsidR="00A40384" w:rsidRPr="004E0101" w14:paraId="304199F2" w14:textId="77777777" w:rsidTr="00726A4C">
        <w:tc>
          <w:tcPr>
            <w:tcW w:w="6215" w:type="dxa"/>
            <w:hideMark/>
          </w:tcPr>
          <w:p w14:paraId="7D33B37B" w14:textId="77777777" w:rsidR="00A40384" w:rsidRPr="004E0101" w:rsidRDefault="00A40384" w:rsidP="00A40384">
            <w:pPr>
              <w:numPr>
                <w:ilvl w:val="0"/>
                <w:numId w:val="4"/>
              </w:numPr>
              <w:spacing w:line="360" w:lineRule="auto"/>
              <w:rPr>
                <w:b/>
                <w:noProof/>
              </w:rPr>
            </w:pPr>
            <w:r w:rsidRPr="004E0101">
              <w:rPr>
                <w:b/>
                <w:noProof/>
              </w:rPr>
              <w:t>Valoarea totală a investiţiei (inclusiv TVA)</w:t>
            </w:r>
          </w:p>
        </w:tc>
        <w:tc>
          <w:tcPr>
            <w:tcW w:w="2070" w:type="dxa"/>
            <w:hideMark/>
          </w:tcPr>
          <w:p w14:paraId="43797955" w14:textId="77777777" w:rsidR="00A40384" w:rsidRPr="004E0101" w:rsidRDefault="0025266B" w:rsidP="004255B4">
            <w:pPr>
              <w:spacing w:line="360" w:lineRule="auto"/>
              <w:rPr>
                <w:b/>
                <w:noProof/>
              </w:rPr>
            </w:pPr>
            <w:r w:rsidRPr="004E0101">
              <w:rPr>
                <w:b/>
                <w:noProof/>
              </w:rPr>
              <w:t xml:space="preserve"> </w:t>
            </w:r>
            <w:r w:rsidR="00A40384" w:rsidRPr="004E0101">
              <w:rPr>
                <w:b/>
                <w:noProof/>
              </w:rPr>
              <w:t>mii lei</w:t>
            </w:r>
          </w:p>
        </w:tc>
        <w:tc>
          <w:tcPr>
            <w:tcW w:w="1869" w:type="dxa"/>
            <w:hideMark/>
          </w:tcPr>
          <w:p w14:paraId="26309144" w14:textId="77777777" w:rsidR="00A40384" w:rsidRPr="004E0101" w:rsidRDefault="00DB0770" w:rsidP="004255B4">
            <w:pPr>
              <w:spacing w:line="360" w:lineRule="auto"/>
              <w:rPr>
                <w:b/>
                <w:noProof/>
                <w:highlight w:val="yellow"/>
              </w:rPr>
            </w:pPr>
            <w:r w:rsidRPr="004E0101">
              <w:rPr>
                <w:b/>
                <w:noProof/>
              </w:rPr>
              <w:t xml:space="preserve"> 116.279</w:t>
            </w:r>
            <w:r w:rsidR="00E27A2E" w:rsidRPr="004E0101">
              <w:rPr>
                <w:b/>
                <w:noProof/>
              </w:rPr>
              <w:t xml:space="preserve"> *)</w:t>
            </w:r>
          </w:p>
        </w:tc>
      </w:tr>
      <w:tr w:rsidR="00A40384" w:rsidRPr="004E0101" w14:paraId="7B87C56C" w14:textId="77777777" w:rsidTr="00726A4C">
        <w:tc>
          <w:tcPr>
            <w:tcW w:w="6215" w:type="dxa"/>
            <w:hideMark/>
          </w:tcPr>
          <w:p w14:paraId="5FBBB440" w14:textId="77777777" w:rsidR="00A40384" w:rsidRPr="004E0101" w:rsidRDefault="00E27A2E" w:rsidP="004255B4">
            <w:pPr>
              <w:spacing w:line="360" w:lineRule="auto"/>
              <w:rPr>
                <w:noProof/>
              </w:rPr>
            </w:pPr>
            <w:r w:rsidRPr="004E0101">
              <w:rPr>
                <w:noProof/>
              </w:rPr>
              <w:t xml:space="preserve">   </w:t>
            </w:r>
            <w:r w:rsidR="00A40384" w:rsidRPr="004E0101">
              <w:rPr>
                <w:noProof/>
              </w:rPr>
              <w:t xml:space="preserve">(preţuri valabile la data de </w:t>
            </w:r>
            <w:r w:rsidR="00DA3E11" w:rsidRPr="004E0101">
              <w:rPr>
                <w:noProof/>
              </w:rPr>
              <w:t>05.07.2021,</w:t>
            </w:r>
            <w:r w:rsidR="00A40384" w:rsidRPr="004E0101">
              <w:rPr>
                <w:noProof/>
              </w:rPr>
              <w:t xml:space="preserve"> 1 </w:t>
            </w:r>
            <w:r w:rsidR="00DA3E11" w:rsidRPr="004E0101">
              <w:rPr>
                <w:noProof/>
              </w:rPr>
              <w:t>e</w:t>
            </w:r>
            <w:r w:rsidR="00A40384" w:rsidRPr="004E0101">
              <w:rPr>
                <w:noProof/>
              </w:rPr>
              <w:t>uro = 4,</w:t>
            </w:r>
            <w:r w:rsidR="00DA3E11" w:rsidRPr="004E0101">
              <w:rPr>
                <w:noProof/>
              </w:rPr>
              <w:t xml:space="preserve">9266 </w:t>
            </w:r>
            <w:r w:rsidR="00A40384" w:rsidRPr="004E0101">
              <w:rPr>
                <w:noProof/>
              </w:rPr>
              <w:t>lei)</w:t>
            </w:r>
          </w:p>
        </w:tc>
        <w:tc>
          <w:tcPr>
            <w:tcW w:w="2070" w:type="dxa"/>
            <w:hideMark/>
          </w:tcPr>
          <w:p w14:paraId="3EFEE533" w14:textId="77777777" w:rsidR="00A40384" w:rsidRPr="004E0101" w:rsidRDefault="00A40384" w:rsidP="004255B4">
            <w:pPr>
              <w:spacing w:line="360" w:lineRule="auto"/>
              <w:rPr>
                <w:b/>
                <w:noProof/>
              </w:rPr>
            </w:pPr>
          </w:p>
        </w:tc>
        <w:tc>
          <w:tcPr>
            <w:tcW w:w="1869" w:type="dxa"/>
            <w:hideMark/>
          </w:tcPr>
          <w:p w14:paraId="53ABA939" w14:textId="77777777" w:rsidR="00A40384" w:rsidRPr="004E0101" w:rsidRDefault="00A40384" w:rsidP="004255B4">
            <w:pPr>
              <w:spacing w:line="360" w:lineRule="auto"/>
              <w:rPr>
                <w:b/>
                <w:noProof/>
                <w:highlight w:val="yellow"/>
              </w:rPr>
            </w:pPr>
          </w:p>
        </w:tc>
      </w:tr>
      <w:tr w:rsidR="00A40384" w:rsidRPr="004E0101" w14:paraId="357F52BE" w14:textId="77777777" w:rsidTr="00726A4C">
        <w:tc>
          <w:tcPr>
            <w:tcW w:w="6215" w:type="dxa"/>
            <w:hideMark/>
          </w:tcPr>
          <w:p w14:paraId="22ADB8A5" w14:textId="77777777" w:rsidR="00A40384" w:rsidRPr="004E0101" w:rsidRDefault="00E27A2E" w:rsidP="004255B4">
            <w:pPr>
              <w:spacing w:line="360" w:lineRule="auto"/>
              <w:rPr>
                <w:b/>
                <w:noProof/>
              </w:rPr>
            </w:pPr>
            <w:r w:rsidRPr="004E0101">
              <w:rPr>
                <w:b/>
                <w:noProof/>
              </w:rPr>
              <w:t xml:space="preserve">   </w:t>
            </w:r>
            <w:r w:rsidR="00A40384" w:rsidRPr="004E0101">
              <w:rPr>
                <w:b/>
                <w:noProof/>
              </w:rPr>
              <w:t>din care: construcţii-montaj</w:t>
            </w:r>
          </w:p>
        </w:tc>
        <w:tc>
          <w:tcPr>
            <w:tcW w:w="2070" w:type="dxa"/>
            <w:hideMark/>
          </w:tcPr>
          <w:p w14:paraId="7D9167E1" w14:textId="77777777" w:rsidR="00A40384" w:rsidRPr="004E0101" w:rsidRDefault="0025266B" w:rsidP="004255B4">
            <w:pPr>
              <w:spacing w:line="360" w:lineRule="auto"/>
              <w:rPr>
                <w:b/>
                <w:noProof/>
              </w:rPr>
            </w:pPr>
            <w:r w:rsidRPr="004E0101">
              <w:rPr>
                <w:b/>
                <w:noProof/>
              </w:rPr>
              <w:t xml:space="preserve"> </w:t>
            </w:r>
            <w:r w:rsidR="00A40384" w:rsidRPr="004E0101">
              <w:rPr>
                <w:b/>
                <w:noProof/>
              </w:rPr>
              <w:t>mii lei</w:t>
            </w:r>
          </w:p>
        </w:tc>
        <w:tc>
          <w:tcPr>
            <w:tcW w:w="1869" w:type="dxa"/>
            <w:hideMark/>
          </w:tcPr>
          <w:p w14:paraId="4E4B300D" w14:textId="77777777" w:rsidR="00726A4C" w:rsidRPr="004E0101" w:rsidRDefault="0025266B" w:rsidP="00726A4C">
            <w:pPr>
              <w:spacing w:line="360" w:lineRule="auto"/>
              <w:rPr>
                <w:b/>
                <w:noProof/>
                <w:highlight w:val="yellow"/>
              </w:rPr>
            </w:pPr>
            <w:r w:rsidRPr="004E0101">
              <w:rPr>
                <w:b/>
                <w:bCs/>
                <w:noProof/>
                <w:lang w:eastAsia="en-GB"/>
              </w:rPr>
              <w:t xml:space="preserve"> </w:t>
            </w:r>
            <w:r w:rsidR="00DB0770" w:rsidRPr="004E0101">
              <w:rPr>
                <w:b/>
                <w:bCs/>
                <w:noProof/>
                <w:lang w:eastAsia="en-GB"/>
              </w:rPr>
              <w:t xml:space="preserve">   86.401</w:t>
            </w:r>
          </w:p>
        </w:tc>
      </w:tr>
    </w:tbl>
    <w:p w14:paraId="70960BB4" w14:textId="77777777" w:rsidR="00726A4C" w:rsidRPr="004E0101" w:rsidRDefault="00726A4C" w:rsidP="00726A4C">
      <w:pPr>
        <w:autoSpaceDE w:val="0"/>
        <w:autoSpaceDN w:val="0"/>
        <w:adjustRightInd w:val="0"/>
        <w:ind w:left="360"/>
        <w:jc w:val="both"/>
        <w:rPr>
          <w:b/>
          <w:noProof/>
        </w:rPr>
      </w:pPr>
    </w:p>
    <w:p w14:paraId="474BD993" w14:textId="77777777" w:rsidR="00DA3E11" w:rsidRPr="004E0101" w:rsidRDefault="00DA3E11" w:rsidP="00DA3E11">
      <w:pPr>
        <w:numPr>
          <w:ilvl w:val="0"/>
          <w:numId w:val="4"/>
        </w:numPr>
        <w:autoSpaceDE w:val="0"/>
        <w:autoSpaceDN w:val="0"/>
        <w:adjustRightInd w:val="0"/>
        <w:spacing w:line="360" w:lineRule="auto"/>
        <w:jc w:val="both"/>
        <w:rPr>
          <w:b/>
          <w:noProof/>
        </w:rPr>
      </w:pPr>
      <w:r w:rsidRPr="004E0101">
        <w:rPr>
          <w:b/>
          <w:noProof/>
        </w:rPr>
        <w:t>Eşalonarea investiţiei</w:t>
      </w:r>
      <w:r w:rsidRPr="004E0101">
        <w:rPr>
          <w:b/>
          <w:noProof/>
        </w:rPr>
        <w:tab/>
      </w:r>
      <w:r w:rsidR="00E27A2E" w:rsidRPr="004E0101">
        <w:rPr>
          <w:b/>
          <w:noProof/>
        </w:rPr>
        <w:tab/>
      </w:r>
      <w:r w:rsidR="000C0049" w:rsidRPr="004E0101">
        <w:rPr>
          <w:b/>
          <w:noProof/>
        </w:rPr>
        <w:tab/>
      </w:r>
      <w:r w:rsidRPr="004E0101">
        <w:rPr>
          <w:b/>
          <w:noProof/>
        </w:rPr>
        <w:t>INV / C+M</w:t>
      </w:r>
    </w:p>
    <w:p w14:paraId="43E6A682" w14:textId="77777777" w:rsidR="00E27A2E" w:rsidRPr="004E0101" w:rsidRDefault="00E27A2E" w:rsidP="00E27A2E">
      <w:pPr>
        <w:autoSpaceDE w:val="0"/>
        <w:autoSpaceDN w:val="0"/>
        <w:adjustRightInd w:val="0"/>
        <w:spacing w:line="360" w:lineRule="auto"/>
        <w:ind w:left="360"/>
        <w:rPr>
          <w:noProof/>
        </w:rPr>
      </w:pPr>
      <w:r w:rsidRPr="004E0101">
        <w:rPr>
          <w:noProof/>
        </w:rPr>
        <w:t>Anul I</w:t>
      </w:r>
      <w:r w:rsidRPr="004E0101">
        <w:rPr>
          <w:noProof/>
        </w:rPr>
        <w:tab/>
      </w:r>
      <w:r w:rsidRPr="004E0101">
        <w:rPr>
          <w:noProof/>
        </w:rPr>
        <w:tab/>
      </w:r>
      <w:r w:rsidRPr="004E0101">
        <w:rPr>
          <w:noProof/>
        </w:rPr>
        <w:tab/>
      </w:r>
      <w:r w:rsidRPr="004E0101">
        <w:rPr>
          <w:noProof/>
        </w:rPr>
        <w:tab/>
      </w:r>
      <w:r w:rsidR="000C0049" w:rsidRPr="004E0101">
        <w:rPr>
          <w:noProof/>
        </w:rPr>
        <w:tab/>
      </w:r>
      <w:r w:rsidRPr="004E0101">
        <w:rPr>
          <w:noProof/>
        </w:rPr>
        <w:t>mii lei / mii lei</w:t>
      </w:r>
      <w:r w:rsidR="000C0049" w:rsidRPr="004E0101">
        <w:rPr>
          <w:noProof/>
        </w:rPr>
        <w:tab/>
      </w:r>
      <w:r w:rsidR="000C0049" w:rsidRPr="004E0101">
        <w:rPr>
          <w:noProof/>
        </w:rPr>
        <w:tab/>
      </w:r>
      <w:r w:rsidRPr="004E0101">
        <w:rPr>
          <w:noProof/>
        </w:rPr>
        <w:tab/>
      </w:r>
      <w:r w:rsidR="006A1A3E" w:rsidRPr="004E0101">
        <w:rPr>
          <w:b/>
          <w:bCs/>
          <w:noProof/>
        </w:rPr>
        <w:t>35.139</w:t>
      </w:r>
      <w:r w:rsidRPr="004E0101">
        <w:rPr>
          <w:b/>
          <w:bCs/>
          <w:noProof/>
        </w:rPr>
        <w:t xml:space="preserve"> / </w:t>
      </w:r>
      <w:r w:rsidR="006A1A3E" w:rsidRPr="004E0101">
        <w:rPr>
          <w:b/>
          <w:bCs/>
          <w:noProof/>
        </w:rPr>
        <w:t>26.110</w:t>
      </w:r>
    </w:p>
    <w:p w14:paraId="028E955C" w14:textId="77777777" w:rsidR="00E27A2E" w:rsidRPr="004E0101" w:rsidRDefault="00E27A2E" w:rsidP="00E27A2E">
      <w:pPr>
        <w:autoSpaceDE w:val="0"/>
        <w:autoSpaceDN w:val="0"/>
        <w:adjustRightInd w:val="0"/>
        <w:spacing w:line="360" w:lineRule="auto"/>
        <w:ind w:left="360"/>
        <w:rPr>
          <w:b/>
          <w:bCs/>
          <w:noProof/>
        </w:rPr>
      </w:pPr>
      <w:r w:rsidRPr="004E0101">
        <w:rPr>
          <w:noProof/>
        </w:rPr>
        <w:t>Anul II</w:t>
      </w:r>
      <w:r w:rsidRPr="004E0101">
        <w:rPr>
          <w:noProof/>
        </w:rPr>
        <w:tab/>
      </w:r>
      <w:r w:rsidRPr="004E0101">
        <w:rPr>
          <w:noProof/>
        </w:rPr>
        <w:tab/>
      </w:r>
      <w:r w:rsidRPr="004E0101">
        <w:rPr>
          <w:noProof/>
        </w:rPr>
        <w:tab/>
      </w:r>
      <w:r w:rsidRPr="004E0101">
        <w:rPr>
          <w:noProof/>
        </w:rPr>
        <w:tab/>
      </w:r>
      <w:r w:rsidR="000C0049" w:rsidRPr="004E0101">
        <w:rPr>
          <w:noProof/>
        </w:rPr>
        <w:tab/>
      </w:r>
      <w:r w:rsidRPr="004E0101">
        <w:rPr>
          <w:noProof/>
        </w:rPr>
        <w:t>mii lei / mii lei</w:t>
      </w:r>
      <w:r w:rsidRPr="004E0101">
        <w:rPr>
          <w:noProof/>
        </w:rPr>
        <w:tab/>
      </w:r>
      <w:r w:rsidR="000C0049" w:rsidRPr="004E0101">
        <w:rPr>
          <w:noProof/>
        </w:rPr>
        <w:tab/>
      </w:r>
      <w:r w:rsidR="000C0049" w:rsidRPr="004E0101">
        <w:rPr>
          <w:noProof/>
        </w:rPr>
        <w:tab/>
      </w:r>
      <w:r w:rsidR="006A1A3E" w:rsidRPr="004E0101">
        <w:rPr>
          <w:b/>
          <w:bCs/>
          <w:noProof/>
        </w:rPr>
        <w:t>78.748</w:t>
      </w:r>
      <w:r w:rsidRPr="004E0101">
        <w:rPr>
          <w:b/>
          <w:bCs/>
          <w:noProof/>
        </w:rPr>
        <w:t xml:space="preserve"> / </w:t>
      </w:r>
      <w:r w:rsidR="006A1A3E" w:rsidRPr="004E0101">
        <w:rPr>
          <w:b/>
          <w:bCs/>
          <w:noProof/>
        </w:rPr>
        <w:t>58.514</w:t>
      </w:r>
    </w:p>
    <w:p w14:paraId="33048C84" w14:textId="77777777" w:rsidR="00DB0770" w:rsidRDefault="00DB0770" w:rsidP="007E5EB5">
      <w:pPr>
        <w:autoSpaceDE w:val="0"/>
        <w:autoSpaceDN w:val="0"/>
        <w:adjustRightInd w:val="0"/>
        <w:spacing w:line="276" w:lineRule="auto"/>
        <w:ind w:left="360"/>
        <w:rPr>
          <w:b/>
          <w:bCs/>
          <w:noProof/>
        </w:rPr>
      </w:pPr>
      <w:r w:rsidRPr="004E0101">
        <w:rPr>
          <w:noProof/>
        </w:rPr>
        <w:t>Anul III</w:t>
      </w:r>
      <w:r w:rsidRPr="004E0101">
        <w:rPr>
          <w:noProof/>
        </w:rPr>
        <w:tab/>
      </w:r>
      <w:r w:rsidRPr="004E0101">
        <w:rPr>
          <w:noProof/>
        </w:rPr>
        <w:tab/>
      </w:r>
      <w:r w:rsidRPr="004E0101">
        <w:rPr>
          <w:noProof/>
        </w:rPr>
        <w:tab/>
      </w:r>
      <w:r w:rsidRPr="004E0101">
        <w:rPr>
          <w:noProof/>
        </w:rPr>
        <w:tab/>
      </w:r>
      <w:r w:rsidRPr="004E0101">
        <w:rPr>
          <w:noProof/>
        </w:rPr>
        <w:tab/>
        <w:t>mii lei / mii lei</w:t>
      </w:r>
      <w:r w:rsidRPr="004E0101">
        <w:rPr>
          <w:noProof/>
        </w:rPr>
        <w:tab/>
      </w:r>
      <w:r w:rsidRPr="004E0101">
        <w:rPr>
          <w:noProof/>
        </w:rPr>
        <w:tab/>
      </w:r>
      <w:r w:rsidRPr="004E0101">
        <w:rPr>
          <w:noProof/>
        </w:rPr>
        <w:tab/>
      </w:r>
      <w:r w:rsidR="006A1A3E" w:rsidRPr="004E0101">
        <w:rPr>
          <w:noProof/>
        </w:rPr>
        <w:t xml:space="preserve">  </w:t>
      </w:r>
      <w:r w:rsidR="006A1A3E" w:rsidRPr="004E0101">
        <w:rPr>
          <w:b/>
          <w:bCs/>
          <w:noProof/>
        </w:rPr>
        <w:t>2.392</w:t>
      </w:r>
      <w:r w:rsidRPr="004E0101">
        <w:rPr>
          <w:b/>
          <w:bCs/>
          <w:noProof/>
        </w:rPr>
        <w:t xml:space="preserve"> </w:t>
      </w:r>
      <w:r w:rsidR="006A1A3E" w:rsidRPr="004E0101">
        <w:rPr>
          <w:b/>
          <w:bCs/>
          <w:noProof/>
        </w:rPr>
        <w:t xml:space="preserve"> </w:t>
      </w:r>
      <w:r w:rsidRPr="004E0101">
        <w:rPr>
          <w:b/>
          <w:bCs/>
          <w:noProof/>
        </w:rPr>
        <w:t xml:space="preserve">/ </w:t>
      </w:r>
      <w:r w:rsidR="006A1A3E" w:rsidRPr="004E0101">
        <w:rPr>
          <w:b/>
          <w:bCs/>
          <w:noProof/>
        </w:rPr>
        <w:t xml:space="preserve"> 1.777</w:t>
      </w:r>
    </w:p>
    <w:p w14:paraId="573D8C16" w14:textId="77777777" w:rsidR="007E5EB5" w:rsidRDefault="007E5EB5" w:rsidP="007E5EB5">
      <w:pPr>
        <w:autoSpaceDE w:val="0"/>
        <w:autoSpaceDN w:val="0"/>
        <w:adjustRightInd w:val="0"/>
        <w:spacing w:line="276" w:lineRule="auto"/>
        <w:ind w:left="360"/>
        <w:rPr>
          <w:b/>
          <w:bCs/>
          <w:noProof/>
        </w:rPr>
      </w:pPr>
    </w:p>
    <w:p w14:paraId="14B58AD6" w14:textId="77777777" w:rsidR="007E5EB5" w:rsidRPr="004E0101" w:rsidRDefault="007E5EB5" w:rsidP="007E5EB5">
      <w:pPr>
        <w:pStyle w:val="BodyText"/>
        <w:spacing w:line="276" w:lineRule="auto"/>
        <w:jc w:val="both"/>
        <w:rPr>
          <w:noProof/>
          <w:sz w:val="20"/>
          <w:szCs w:val="20"/>
          <w:lang w:val="ro-RO"/>
        </w:rPr>
      </w:pPr>
      <w:r w:rsidRPr="004E0101">
        <w:rPr>
          <w:noProof/>
          <w:sz w:val="20"/>
          <w:szCs w:val="20"/>
          <w:lang w:val="ro-RO"/>
        </w:rPr>
        <w:t>*) Valoarea se va actualiza potrivit evoluţiei ulterioare a preţurilor</w:t>
      </w:r>
    </w:p>
    <w:p w14:paraId="508F703B" w14:textId="77777777" w:rsidR="00726A4C" w:rsidRPr="004E0101" w:rsidRDefault="00726A4C" w:rsidP="007E5EB5">
      <w:pPr>
        <w:autoSpaceDE w:val="0"/>
        <w:autoSpaceDN w:val="0"/>
        <w:adjustRightInd w:val="0"/>
        <w:spacing w:line="276" w:lineRule="auto"/>
        <w:ind w:left="360"/>
        <w:rPr>
          <w:noProof/>
        </w:rPr>
      </w:pPr>
    </w:p>
    <w:p w14:paraId="29D174D5" w14:textId="30E4559F" w:rsidR="00A40384" w:rsidRPr="004E0101" w:rsidRDefault="0025266B" w:rsidP="0025266B">
      <w:pPr>
        <w:numPr>
          <w:ilvl w:val="0"/>
          <w:numId w:val="4"/>
        </w:numPr>
        <w:autoSpaceDE w:val="0"/>
        <w:autoSpaceDN w:val="0"/>
        <w:adjustRightInd w:val="0"/>
        <w:spacing w:line="360" w:lineRule="auto"/>
        <w:jc w:val="both"/>
        <w:rPr>
          <w:b/>
          <w:noProof/>
        </w:rPr>
      </w:pPr>
      <w:r w:rsidRPr="004E0101">
        <w:rPr>
          <w:b/>
          <w:noProof/>
        </w:rPr>
        <w:t>Capacități</w:t>
      </w:r>
      <w:r w:rsidR="00FE50FA">
        <w:rPr>
          <w:b/>
          <w:noProof/>
        </w:rPr>
        <w:t xml:space="preserve"> – 6 Stații de Cale Ferată</w:t>
      </w:r>
    </w:p>
    <w:bookmarkEnd w:id="1"/>
    <w:p w14:paraId="0D402FC5" w14:textId="77777777" w:rsidR="00165D44" w:rsidRPr="004E0101" w:rsidRDefault="00165D44" w:rsidP="00DA7B0E">
      <w:pPr>
        <w:jc w:val="center"/>
        <w:rPr>
          <w:bCs/>
          <w:noProof/>
        </w:rPr>
      </w:pPr>
    </w:p>
    <w:p w14:paraId="727551BC" w14:textId="4E884AF9" w:rsidR="0025266B" w:rsidRPr="004E0101" w:rsidRDefault="004E0101" w:rsidP="00726A4C">
      <w:pPr>
        <w:numPr>
          <w:ilvl w:val="0"/>
          <w:numId w:val="4"/>
        </w:numPr>
        <w:autoSpaceDE w:val="0"/>
        <w:autoSpaceDN w:val="0"/>
        <w:adjustRightInd w:val="0"/>
        <w:ind w:left="274" w:hanging="274"/>
        <w:jc w:val="both"/>
        <w:rPr>
          <w:b/>
          <w:noProof/>
        </w:rPr>
      </w:pPr>
      <w:r w:rsidRPr="004E0101">
        <w:rPr>
          <w:b/>
          <w:noProof/>
        </w:rPr>
        <w:t xml:space="preserve">Durata de </w:t>
      </w:r>
      <w:r w:rsidR="00F2381E">
        <w:rPr>
          <w:b/>
          <w:noProof/>
        </w:rPr>
        <w:t>execuție</w:t>
      </w:r>
      <w:r w:rsidRPr="004E0101">
        <w:rPr>
          <w:b/>
          <w:noProof/>
        </w:rPr>
        <w:t xml:space="preserve"> a investiției : </w:t>
      </w:r>
      <w:r w:rsidR="00DB0770" w:rsidRPr="004E0101">
        <w:rPr>
          <w:bCs/>
          <w:noProof/>
        </w:rPr>
        <w:t>20</w:t>
      </w:r>
      <w:r w:rsidR="000C0049" w:rsidRPr="004E0101">
        <w:rPr>
          <w:bCs/>
          <w:noProof/>
        </w:rPr>
        <w:t xml:space="preserve"> luni</w:t>
      </w:r>
    </w:p>
    <w:p w14:paraId="19CD89D8" w14:textId="77777777" w:rsidR="00726A4C" w:rsidRPr="004E0101" w:rsidRDefault="00726A4C" w:rsidP="00726A4C">
      <w:pPr>
        <w:autoSpaceDE w:val="0"/>
        <w:autoSpaceDN w:val="0"/>
        <w:adjustRightInd w:val="0"/>
        <w:ind w:left="274"/>
        <w:jc w:val="both"/>
        <w:rPr>
          <w:b/>
          <w:noProof/>
        </w:rPr>
      </w:pPr>
    </w:p>
    <w:p w14:paraId="7D2DD059" w14:textId="77777777" w:rsidR="00D92D51" w:rsidRDefault="00D92D51" w:rsidP="00D92D51">
      <w:pPr>
        <w:pStyle w:val="Caption"/>
        <w:rPr>
          <w:rFonts w:ascii="Times New Roman" w:hAnsi="Times New Roman" w:cs="Times New Roman"/>
          <w:noProof/>
          <w:sz w:val="24"/>
        </w:rPr>
      </w:pPr>
      <w:r w:rsidRPr="004E0101">
        <w:rPr>
          <w:rFonts w:ascii="Times New Roman" w:hAnsi="Times New Roman" w:cs="Times New Roman"/>
          <w:noProof/>
          <w:sz w:val="24"/>
        </w:rPr>
        <w:t>FACTORI DE RISC</w:t>
      </w:r>
    </w:p>
    <w:p w14:paraId="51E9DD66" w14:textId="77777777" w:rsidR="007E5EB5" w:rsidRPr="007E5EB5" w:rsidRDefault="007E5EB5" w:rsidP="007E5EB5">
      <w:pPr>
        <w:rPr>
          <w:lang w:eastAsia="en-US"/>
        </w:rPr>
      </w:pPr>
    </w:p>
    <w:p w14:paraId="619EDEF7" w14:textId="77777777" w:rsidR="009E2D71" w:rsidRPr="004E0101" w:rsidRDefault="009E2D71" w:rsidP="009E2D71">
      <w:pPr>
        <w:autoSpaceDE w:val="0"/>
        <w:autoSpaceDN w:val="0"/>
        <w:adjustRightInd w:val="0"/>
        <w:spacing w:line="276" w:lineRule="auto"/>
        <w:jc w:val="both"/>
        <w:rPr>
          <w:noProof/>
        </w:rPr>
      </w:pPr>
      <w:r w:rsidRPr="004E0101">
        <w:rPr>
          <w:noProof/>
        </w:rPr>
        <w:t xml:space="preserve">Obiectivul de investiții se va proteja antiseismic în conformitate cu prevederile Normativului P100 – 1/2013, cu modificările și completările ulterioare. </w:t>
      </w:r>
    </w:p>
    <w:p w14:paraId="26DC94A8" w14:textId="77777777" w:rsidR="00FD74BC" w:rsidRPr="004E0101" w:rsidRDefault="00FD74BC" w:rsidP="00D92D51">
      <w:pPr>
        <w:pStyle w:val="Caption"/>
        <w:rPr>
          <w:rFonts w:ascii="Times New Roman" w:hAnsi="Times New Roman" w:cs="Times New Roman"/>
          <w:noProof/>
          <w:sz w:val="16"/>
          <w:szCs w:val="16"/>
        </w:rPr>
      </w:pPr>
    </w:p>
    <w:p w14:paraId="773FAC39" w14:textId="77777777" w:rsidR="00D92D51" w:rsidRDefault="00D92D51" w:rsidP="00D92D51">
      <w:pPr>
        <w:pStyle w:val="Caption"/>
        <w:rPr>
          <w:rFonts w:ascii="Times New Roman" w:hAnsi="Times New Roman" w:cs="Times New Roman"/>
          <w:noProof/>
          <w:sz w:val="24"/>
        </w:rPr>
      </w:pPr>
      <w:r w:rsidRPr="004E0101">
        <w:rPr>
          <w:rFonts w:ascii="Times New Roman" w:hAnsi="Times New Roman" w:cs="Times New Roman"/>
          <w:noProof/>
          <w:sz w:val="24"/>
        </w:rPr>
        <w:t>FINANŢAREA INVESTIŢIEI</w:t>
      </w:r>
    </w:p>
    <w:p w14:paraId="04ABE7D7" w14:textId="77777777" w:rsidR="007E5EB5" w:rsidRPr="007E5EB5" w:rsidRDefault="007E5EB5" w:rsidP="007E5EB5">
      <w:pPr>
        <w:rPr>
          <w:lang w:eastAsia="en-US"/>
        </w:rPr>
      </w:pPr>
    </w:p>
    <w:p w14:paraId="60BEF394" w14:textId="5730C2BE" w:rsidR="003A320B" w:rsidRPr="00E3479C" w:rsidRDefault="007E5EB5" w:rsidP="001E2435">
      <w:pPr>
        <w:pStyle w:val="BodyText"/>
        <w:jc w:val="both"/>
        <w:rPr>
          <w:noProof/>
          <w:sz w:val="24"/>
          <w:szCs w:val="24"/>
          <w:lang w:val="ro-RO"/>
        </w:rPr>
      </w:pPr>
      <w:r w:rsidRPr="007E5EB5">
        <w:rPr>
          <w:rFonts w:eastAsia="Calibri"/>
          <w:noProof/>
          <w:sz w:val="24"/>
          <w:szCs w:val="24"/>
          <w:lang w:val="ro-RO" w:eastAsia="ro-RO"/>
        </w:rPr>
        <w:t>Finanțarea obiectivului de investiții, prevăzut la art. 1, se realizează din fonduri externe nerambursabile, de la bugetul de stat prin bugetul Ministerului Transporturilor și Infrastructurii și din veniturile proprii ale Companiei Naţionale de Căi Ferate „C.F.R.” – S.A. precum și din alte surse legal constituite, în limita sumelor aprobate anual cu această destinaţie, conform programelor de investiţii publice aprobate potrivit legii.</w:t>
      </w:r>
      <w:r w:rsidR="009E2D71" w:rsidRPr="00E3479C">
        <w:rPr>
          <w:noProof/>
          <w:sz w:val="24"/>
          <w:szCs w:val="24"/>
          <w:lang w:val="ro-RO" w:eastAsia="ro-RO"/>
        </w:rPr>
        <w:t>.</w:t>
      </w:r>
    </w:p>
    <w:p w14:paraId="5C69A214" w14:textId="77777777" w:rsidR="008A4605" w:rsidRDefault="008A4605" w:rsidP="000B7C44">
      <w:pPr>
        <w:pStyle w:val="BodyText"/>
        <w:jc w:val="both"/>
        <w:rPr>
          <w:noProof/>
          <w:sz w:val="20"/>
          <w:szCs w:val="20"/>
          <w:lang w:val="ro-RO"/>
        </w:rPr>
      </w:pPr>
    </w:p>
    <w:p w14:paraId="5B7BCCF4" w14:textId="77777777" w:rsidR="008A4605" w:rsidRDefault="008A4605" w:rsidP="000B7C44">
      <w:pPr>
        <w:pStyle w:val="BodyText"/>
        <w:jc w:val="both"/>
        <w:rPr>
          <w:noProof/>
          <w:sz w:val="20"/>
          <w:szCs w:val="20"/>
          <w:lang w:val="ro-RO"/>
        </w:rPr>
      </w:pPr>
    </w:p>
    <w:p w14:paraId="377297DD" w14:textId="77777777" w:rsidR="008A4605" w:rsidRDefault="008A4605" w:rsidP="000B7C44">
      <w:pPr>
        <w:pStyle w:val="BodyText"/>
        <w:jc w:val="both"/>
        <w:rPr>
          <w:noProof/>
          <w:sz w:val="20"/>
          <w:szCs w:val="20"/>
          <w:lang w:val="ro-RO"/>
        </w:rPr>
      </w:pPr>
    </w:p>
    <w:p w14:paraId="4238D05A" w14:textId="77777777" w:rsidR="008A4605" w:rsidRDefault="008A4605" w:rsidP="000B7C44">
      <w:pPr>
        <w:pStyle w:val="BodyText"/>
        <w:jc w:val="both"/>
        <w:rPr>
          <w:noProof/>
          <w:sz w:val="20"/>
          <w:szCs w:val="20"/>
          <w:lang w:val="ro-RO"/>
        </w:rPr>
      </w:pPr>
    </w:p>
    <w:p w14:paraId="189DE916" w14:textId="77777777" w:rsidR="008A4605" w:rsidRDefault="008A4605" w:rsidP="000B7C44">
      <w:pPr>
        <w:pStyle w:val="BodyText"/>
        <w:jc w:val="both"/>
        <w:rPr>
          <w:noProof/>
          <w:sz w:val="20"/>
          <w:szCs w:val="20"/>
          <w:lang w:val="ro-RO"/>
        </w:rPr>
      </w:pPr>
    </w:p>
    <w:p w14:paraId="7D03A30A" w14:textId="77777777" w:rsidR="008A4605" w:rsidRDefault="008A4605" w:rsidP="000B7C44">
      <w:pPr>
        <w:pStyle w:val="BodyText"/>
        <w:jc w:val="both"/>
        <w:rPr>
          <w:noProof/>
          <w:sz w:val="20"/>
          <w:szCs w:val="20"/>
          <w:lang w:val="ro-RO"/>
        </w:rPr>
      </w:pPr>
    </w:p>
    <w:p w14:paraId="0F92C3BA" w14:textId="77777777" w:rsidR="008A4605" w:rsidRDefault="008A4605" w:rsidP="000B7C44">
      <w:pPr>
        <w:pStyle w:val="BodyText"/>
        <w:jc w:val="both"/>
        <w:rPr>
          <w:noProof/>
          <w:sz w:val="20"/>
          <w:szCs w:val="20"/>
          <w:lang w:val="ro-RO"/>
        </w:rPr>
      </w:pPr>
    </w:p>
    <w:p w14:paraId="653A209D" w14:textId="77777777" w:rsidR="008A4605" w:rsidRDefault="008A4605" w:rsidP="000B7C44">
      <w:pPr>
        <w:pStyle w:val="BodyText"/>
        <w:jc w:val="both"/>
        <w:rPr>
          <w:noProof/>
          <w:sz w:val="20"/>
          <w:szCs w:val="20"/>
          <w:lang w:val="ro-RO"/>
        </w:rPr>
      </w:pPr>
    </w:p>
    <w:sectPr w:rsidR="008A4605" w:rsidSect="00FE50FA">
      <w:footerReference w:type="even" r:id="rId7"/>
      <w:pgSz w:w="11906" w:h="16838" w:code="9"/>
      <w:pgMar w:top="450" w:right="454" w:bottom="360" w:left="136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6A156" w14:textId="77777777" w:rsidR="00E83946" w:rsidRDefault="00E83946">
      <w:r>
        <w:separator/>
      </w:r>
    </w:p>
  </w:endnote>
  <w:endnote w:type="continuationSeparator" w:id="0">
    <w:p w14:paraId="50FA9F8B" w14:textId="77777777" w:rsidR="00E83946" w:rsidRDefault="00E8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52F7E" w14:textId="77777777" w:rsidR="00B949F0" w:rsidRDefault="00B949F0" w:rsidP="00D92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BFB1F" w14:textId="77777777" w:rsidR="00B949F0" w:rsidRDefault="00B949F0" w:rsidP="00D92D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C872A" w14:textId="77777777" w:rsidR="00E83946" w:rsidRDefault="00E83946">
      <w:r>
        <w:separator/>
      </w:r>
    </w:p>
  </w:footnote>
  <w:footnote w:type="continuationSeparator" w:id="0">
    <w:p w14:paraId="69E48175" w14:textId="77777777" w:rsidR="00E83946" w:rsidRDefault="00E83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7568"/>
    <w:multiLevelType w:val="hybridMultilevel"/>
    <w:tmpl w:val="5262EF50"/>
    <w:lvl w:ilvl="0" w:tplc="57C224AA">
      <w:start w:val="1"/>
      <w:numFmt w:val="bullet"/>
      <w:lvlText w:val="-"/>
      <w:lvlJc w:val="left"/>
      <w:pPr>
        <w:ind w:left="1080" w:hanging="360"/>
      </w:pPr>
      <w:rPr>
        <w:rFonts w:ascii="Calibri" w:eastAsia="Times New Roman" w:hAnsi="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7E2171"/>
    <w:multiLevelType w:val="hybridMultilevel"/>
    <w:tmpl w:val="FAECD32E"/>
    <w:lvl w:ilvl="0" w:tplc="E25C6034">
      <w:start w:val="172"/>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3C41A99"/>
    <w:multiLevelType w:val="hybridMultilevel"/>
    <w:tmpl w:val="81306D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B454FA3"/>
    <w:multiLevelType w:val="hybridMultilevel"/>
    <w:tmpl w:val="EA6CE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51"/>
    <w:rsid w:val="00013D69"/>
    <w:rsid w:val="00026F3E"/>
    <w:rsid w:val="000428A5"/>
    <w:rsid w:val="00047CED"/>
    <w:rsid w:val="00086B41"/>
    <w:rsid w:val="000A39FE"/>
    <w:rsid w:val="000B7C44"/>
    <w:rsid w:val="000C0049"/>
    <w:rsid w:val="000E60F4"/>
    <w:rsid w:val="000E67BE"/>
    <w:rsid w:val="000E75DE"/>
    <w:rsid w:val="00116AD1"/>
    <w:rsid w:val="00121894"/>
    <w:rsid w:val="001338D2"/>
    <w:rsid w:val="00141607"/>
    <w:rsid w:val="001455B1"/>
    <w:rsid w:val="00150C83"/>
    <w:rsid w:val="00156DF9"/>
    <w:rsid w:val="0016505E"/>
    <w:rsid w:val="00165D44"/>
    <w:rsid w:val="00172A94"/>
    <w:rsid w:val="001870C3"/>
    <w:rsid w:val="00196219"/>
    <w:rsid w:val="001B0126"/>
    <w:rsid w:val="001C3175"/>
    <w:rsid w:val="001D40F2"/>
    <w:rsid w:val="001E21B4"/>
    <w:rsid w:val="001E2435"/>
    <w:rsid w:val="001E2FCB"/>
    <w:rsid w:val="001F3552"/>
    <w:rsid w:val="001F3BF8"/>
    <w:rsid w:val="001F753F"/>
    <w:rsid w:val="0020568F"/>
    <w:rsid w:val="002200AC"/>
    <w:rsid w:val="00221DE1"/>
    <w:rsid w:val="00251A1E"/>
    <w:rsid w:val="0025266B"/>
    <w:rsid w:val="00286EC5"/>
    <w:rsid w:val="002933B9"/>
    <w:rsid w:val="002C4FDB"/>
    <w:rsid w:val="002D2366"/>
    <w:rsid w:val="0031253F"/>
    <w:rsid w:val="0032549F"/>
    <w:rsid w:val="00342A21"/>
    <w:rsid w:val="00346D77"/>
    <w:rsid w:val="00360789"/>
    <w:rsid w:val="003668F7"/>
    <w:rsid w:val="00384A47"/>
    <w:rsid w:val="00391496"/>
    <w:rsid w:val="003A320B"/>
    <w:rsid w:val="003A64EC"/>
    <w:rsid w:val="003D7067"/>
    <w:rsid w:val="003E05A8"/>
    <w:rsid w:val="003E6E62"/>
    <w:rsid w:val="00403DB8"/>
    <w:rsid w:val="00403F1A"/>
    <w:rsid w:val="00405731"/>
    <w:rsid w:val="004255B4"/>
    <w:rsid w:val="0042637B"/>
    <w:rsid w:val="004418CC"/>
    <w:rsid w:val="004726F2"/>
    <w:rsid w:val="004938F4"/>
    <w:rsid w:val="004A68D5"/>
    <w:rsid w:val="004D4C1E"/>
    <w:rsid w:val="004E0101"/>
    <w:rsid w:val="004F069B"/>
    <w:rsid w:val="0051229A"/>
    <w:rsid w:val="00512F4C"/>
    <w:rsid w:val="00537A82"/>
    <w:rsid w:val="00556CEA"/>
    <w:rsid w:val="0056380E"/>
    <w:rsid w:val="00577AAA"/>
    <w:rsid w:val="005811B4"/>
    <w:rsid w:val="005A68CA"/>
    <w:rsid w:val="005C008B"/>
    <w:rsid w:val="005C25E4"/>
    <w:rsid w:val="005D40FD"/>
    <w:rsid w:val="005E6579"/>
    <w:rsid w:val="005F6B52"/>
    <w:rsid w:val="00602B43"/>
    <w:rsid w:val="00614D7D"/>
    <w:rsid w:val="006218C8"/>
    <w:rsid w:val="0062744A"/>
    <w:rsid w:val="00644646"/>
    <w:rsid w:val="00652F99"/>
    <w:rsid w:val="006649E8"/>
    <w:rsid w:val="00670CC9"/>
    <w:rsid w:val="00682F75"/>
    <w:rsid w:val="006A1A3E"/>
    <w:rsid w:val="006B64D2"/>
    <w:rsid w:val="006C2639"/>
    <w:rsid w:val="006C2FB4"/>
    <w:rsid w:val="006C3C69"/>
    <w:rsid w:val="006D7641"/>
    <w:rsid w:val="0071221D"/>
    <w:rsid w:val="00721C67"/>
    <w:rsid w:val="00724E9A"/>
    <w:rsid w:val="00726A4C"/>
    <w:rsid w:val="00732BAF"/>
    <w:rsid w:val="00734EAF"/>
    <w:rsid w:val="00740212"/>
    <w:rsid w:val="00743176"/>
    <w:rsid w:val="00746F91"/>
    <w:rsid w:val="00747D8B"/>
    <w:rsid w:val="00756540"/>
    <w:rsid w:val="00764F5A"/>
    <w:rsid w:val="007807A1"/>
    <w:rsid w:val="0078704F"/>
    <w:rsid w:val="00796FC5"/>
    <w:rsid w:val="007B16D5"/>
    <w:rsid w:val="007B5E90"/>
    <w:rsid w:val="007B7FDC"/>
    <w:rsid w:val="007D68F6"/>
    <w:rsid w:val="007E5EB5"/>
    <w:rsid w:val="007F7B20"/>
    <w:rsid w:val="00834D3D"/>
    <w:rsid w:val="008732A1"/>
    <w:rsid w:val="008835A4"/>
    <w:rsid w:val="008A2F9C"/>
    <w:rsid w:val="008A4426"/>
    <w:rsid w:val="008A4605"/>
    <w:rsid w:val="008B360D"/>
    <w:rsid w:val="008C0056"/>
    <w:rsid w:val="008E0FB1"/>
    <w:rsid w:val="008E7407"/>
    <w:rsid w:val="008E7664"/>
    <w:rsid w:val="008F45CA"/>
    <w:rsid w:val="0092744B"/>
    <w:rsid w:val="00930EDC"/>
    <w:rsid w:val="009356CD"/>
    <w:rsid w:val="009367EE"/>
    <w:rsid w:val="009405DB"/>
    <w:rsid w:val="00974A26"/>
    <w:rsid w:val="00975409"/>
    <w:rsid w:val="009779FE"/>
    <w:rsid w:val="00983B37"/>
    <w:rsid w:val="009A2806"/>
    <w:rsid w:val="009C25DE"/>
    <w:rsid w:val="009C33CC"/>
    <w:rsid w:val="009C5B0E"/>
    <w:rsid w:val="009C5C7B"/>
    <w:rsid w:val="009E298D"/>
    <w:rsid w:val="009E2D71"/>
    <w:rsid w:val="009F6E8C"/>
    <w:rsid w:val="00A138BB"/>
    <w:rsid w:val="00A179BC"/>
    <w:rsid w:val="00A339A5"/>
    <w:rsid w:val="00A40384"/>
    <w:rsid w:val="00A54AFE"/>
    <w:rsid w:val="00A55064"/>
    <w:rsid w:val="00A671D1"/>
    <w:rsid w:val="00A70E46"/>
    <w:rsid w:val="00AB1497"/>
    <w:rsid w:val="00AD6A41"/>
    <w:rsid w:val="00AE471F"/>
    <w:rsid w:val="00AF2C11"/>
    <w:rsid w:val="00B000A6"/>
    <w:rsid w:val="00B26EA0"/>
    <w:rsid w:val="00B37D90"/>
    <w:rsid w:val="00B65E51"/>
    <w:rsid w:val="00B66713"/>
    <w:rsid w:val="00B71015"/>
    <w:rsid w:val="00B7595E"/>
    <w:rsid w:val="00B949F0"/>
    <w:rsid w:val="00BB5BB1"/>
    <w:rsid w:val="00BC413F"/>
    <w:rsid w:val="00BC6C54"/>
    <w:rsid w:val="00C26263"/>
    <w:rsid w:val="00C47891"/>
    <w:rsid w:val="00C512EF"/>
    <w:rsid w:val="00C53ABE"/>
    <w:rsid w:val="00C81D56"/>
    <w:rsid w:val="00C94577"/>
    <w:rsid w:val="00CA3290"/>
    <w:rsid w:val="00CC04E7"/>
    <w:rsid w:val="00CC6EC8"/>
    <w:rsid w:val="00CD32A3"/>
    <w:rsid w:val="00CD6C30"/>
    <w:rsid w:val="00CE7D0B"/>
    <w:rsid w:val="00D01B79"/>
    <w:rsid w:val="00D07E6B"/>
    <w:rsid w:val="00D6004B"/>
    <w:rsid w:val="00D833D2"/>
    <w:rsid w:val="00D92D51"/>
    <w:rsid w:val="00D93B05"/>
    <w:rsid w:val="00DA3E11"/>
    <w:rsid w:val="00DA7B0E"/>
    <w:rsid w:val="00DB0770"/>
    <w:rsid w:val="00DC55E8"/>
    <w:rsid w:val="00DE11E6"/>
    <w:rsid w:val="00DE4A16"/>
    <w:rsid w:val="00E03E1A"/>
    <w:rsid w:val="00E1505A"/>
    <w:rsid w:val="00E15BB9"/>
    <w:rsid w:val="00E21883"/>
    <w:rsid w:val="00E21FE8"/>
    <w:rsid w:val="00E24AD4"/>
    <w:rsid w:val="00E27A2E"/>
    <w:rsid w:val="00E309B1"/>
    <w:rsid w:val="00E3479C"/>
    <w:rsid w:val="00E36D65"/>
    <w:rsid w:val="00E43624"/>
    <w:rsid w:val="00E5045D"/>
    <w:rsid w:val="00E53409"/>
    <w:rsid w:val="00E61D40"/>
    <w:rsid w:val="00E62F9A"/>
    <w:rsid w:val="00E81CC8"/>
    <w:rsid w:val="00E83790"/>
    <w:rsid w:val="00E83946"/>
    <w:rsid w:val="00E84735"/>
    <w:rsid w:val="00E92884"/>
    <w:rsid w:val="00E94304"/>
    <w:rsid w:val="00E95253"/>
    <w:rsid w:val="00E97DEC"/>
    <w:rsid w:val="00EA4456"/>
    <w:rsid w:val="00EB6792"/>
    <w:rsid w:val="00EC0A56"/>
    <w:rsid w:val="00ED39D7"/>
    <w:rsid w:val="00EF020F"/>
    <w:rsid w:val="00F06A10"/>
    <w:rsid w:val="00F1176A"/>
    <w:rsid w:val="00F21BF0"/>
    <w:rsid w:val="00F2381E"/>
    <w:rsid w:val="00F277C7"/>
    <w:rsid w:val="00F30381"/>
    <w:rsid w:val="00F3069C"/>
    <w:rsid w:val="00F32863"/>
    <w:rsid w:val="00F362C1"/>
    <w:rsid w:val="00F70999"/>
    <w:rsid w:val="00F71B57"/>
    <w:rsid w:val="00F816D7"/>
    <w:rsid w:val="00FC1252"/>
    <w:rsid w:val="00FD4F28"/>
    <w:rsid w:val="00FD74BC"/>
    <w:rsid w:val="00FE50FA"/>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93142"/>
  <w15:docId w15:val="{338BB416-4A3C-42A5-9541-479E308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51"/>
    <w:rPr>
      <w:rFonts w:ascii="Times New Roman" w:eastAsia="Times New Roman" w:hAnsi="Times New Roman"/>
      <w:sz w:val="24"/>
      <w:szCs w:val="24"/>
      <w:lang w:val="ro-RO" w:eastAsia="ro-RO"/>
    </w:rPr>
  </w:style>
  <w:style w:type="paragraph" w:styleId="Heading4">
    <w:name w:val="heading 4"/>
    <w:basedOn w:val="Normal"/>
    <w:next w:val="Normal"/>
    <w:link w:val="Heading4Char"/>
    <w:qFormat/>
    <w:rsid w:val="00D92D51"/>
    <w:pPr>
      <w:keepNext/>
      <w:jc w:val="center"/>
      <w:outlineLvl w:val="3"/>
    </w:pPr>
    <w:rPr>
      <w:rFonts w:eastAsia="Arial Unicode MS"/>
      <w:b/>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92D51"/>
    <w:rPr>
      <w:rFonts w:ascii="Times New Roman" w:eastAsia="Arial Unicode MS" w:hAnsi="Times New Roman" w:cs="Times New Roman"/>
      <w:b/>
      <w:sz w:val="28"/>
      <w:szCs w:val="24"/>
      <w:lang w:eastAsia="ro-RO"/>
    </w:rPr>
  </w:style>
  <w:style w:type="paragraph" w:styleId="BodyText">
    <w:name w:val="Body Text"/>
    <w:basedOn w:val="Normal"/>
    <w:link w:val="BodyTextChar"/>
    <w:rsid w:val="00D92D51"/>
    <w:pPr>
      <w:jc w:val="center"/>
    </w:pPr>
    <w:rPr>
      <w:sz w:val="28"/>
      <w:szCs w:val="28"/>
      <w:lang w:val="x-none" w:eastAsia="x-none"/>
    </w:rPr>
  </w:style>
  <w:style w:type="character" w:customStyle="1" w:styleId="BodyTextChar">
    <w:name w:val="Body Text Char"/>
    <w:link w:val="BodyText"/>
    <w:rsid w:val="00D92D51"/>
    <w:rPr>
      <w:rFonts w:ascii="Times New Roman" w:eastAsia="Times New Roman" w:hAnsi="Times New Roman" w:cs="Times New Roman"/>
      <w:sz w:val="28"/>
      <w:szCs w:val="28"/>
    </w:rPr>
  </w:style>
  <w:style w:type="paragraph" w:customStyle="1" w:styleId="Listparagraf1">
    <w:name w:val="Listă paragraf1"/>
    <w:basedOn w:val="Normal"/>
    <w:qFormat/>
    <w:rsid w:val="00D92D51"/>
    <w:pPr>
      <w:ind w:left="720"/>
    </w:pPr>
    <w:rPr>
      <w:rFonts w:ascii="Calibri" w:eastAsia="Calibri" w:hAnsi="Calibri"/>
      <w:sz w:val="22"/>
      <w:szCs w:val="22"/>
    </w:rPr>
  </w:style>
  <w:style w:type="paragraph" w:styleId="Header">
    <w:name w:val="header"/>
    <w:basedOn w:val="Normal"/>
    <w:link w:val="HeaderChar"/>
    <w:uiPriority w:val="99"/>
    <w:rsid w:val="00D92D51"/>
    <w:pPr>
      <w:tabs>
        <w:tab w:val="center" w:pos="4320"/>
        <w:tab w:val="right" w:pos="8640"/>
      </w:tabs>
    </w:pPr>
    <w:rPr>
      <w:lang w:val="en-US" w:eastAsia="x-none"/>
    </w:rPr>
  </w:style>
  <w:style w:type="character" w:customStyle="1" w:styleId="HeaderChar">
    <w:name w:val="Header Char"/>
    <w:link w:val="Header"/>
    <w:uiPriority w:val="99"/>
    <w:rsid w:val="00D92D51"/>
    <w:rPr>
      <w:rFonts w:ascii="Times New Roman" w:eastAsia="Times New Roman" w:hAnsi="Times New Roman" w:cs="Times New Roman"/>
      <w:sz w:val="24"/>
      <w:szCs w:val="24"/>
      <w:lang w:val="en-US"/>
    </w:rPr>
  </w:style>
  <w:style w:type="paragraph" w:styleId="Caption">
    <w:name w:val="caption"/>
    <w:basedOn w:val="Normal"/>
    <w:next w:val="Normal"/>
    <w:qFormat/>
    <w:rsid w:val="00D92D51"/>
    <w:rPr>
      <w:rFonts w:ascii="Arial" w:hAnsi="Arial" w:cs="Arial"/>
      <w:b/>
      <w:sz w:val="28"/>
      <w:lang w:eastAsia="en-US"/>
    </w:rPr>
  </w:style>
  <w:style w:type="paragraph" w:styleId="Footer">
    <w:name w:val="footer"/>
    <w:basedOn w:val="Normal"/>
    <w:link w:val="FooterChar"/>
    <w:uiPriority w:val="99"/>
    <w:unhideWhenUsed/>
    <w:rsid w:val="00D92D51"/>
    <w:pPr>
      <w:tabs>
        <w:tab w:val="center" w:pos="4536"/>
        <w:tab w:val="right" w:pos="9072"/>
      </w:tabs>
    </w:pPr>
    <w:rPr>
      <w:lang w:val="x-none"/>
    </w:rPr>
  </w:style>
  <w:style w:type="character" w:customStyle="1" w:styleId="FooterChar">
    <w:name w:val="Footer Char"/>
    <w:link w:val="Footer"/>
    <w:uiPriority w:val="99"/>
    <w:rsid w:val="00D92D51"/>
    <w:rPr>
      <w:rFonts w:ascii="Times New Roman" w:eastAsia="Times New Roman" w:hAnsi="Times New Roman" w:cs="Times New Roman"/>
      <w:sz w:val="24"/>
      <w:szCs w:val="24"/>
      <w:lang w:eastAsia="ro-RO"/>
    </w:rPr>
  </w:style>
  <w:style w:type="character" w:styleId="PageNumber">
    <w:name w:val="page number"/>
    <w:basedOn w:val="DefaultParagraphFont"/>
    <w:rsid w:val="00D92D51"/>
  </w:style>
  <w:style w:type="table" w:styleId="TableGrid">
    <w:name w:val="Table Grid"/>
    <w:basedOn w:val="TableNormal"/>
    <w:uiPriority w:val="59"/>
    <w:rsid w:val="007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2">
    <w:name w:val="Style192"/>
    <w:basedOn w:val="Normal"/>
    <w:uiPriority w:val="99"/>
    <w:rsid w:val="00360789"/>
    <w:pPr>
      <w:widowControl w:val="0"/>
      <w:autoSpaceDE w:val="0"/>
      <w:autoSpaceDN w:val="0"/>
      <w:adjustRightInd w:val="0"/>
      <w:spacing w:line="228" w:lineRule="exact"/>
      <w:jc w:val="center"/>
    </w:pPr>
    <w:rPr>
      <w:rFonts w:ascii="Tahoma" w:hAnsi="Tahoma" w:cs="Tahoma"/>
    </w:rPr>
  </w:style>
  <w:style w:type="character" w:customStyle="1" w:styleId="FontStyle331">
    <w:name w:val="Font Style331"/>
    <w:uiPriority w:val="99"/>
    <w:rsid w:val="00360789"/>
    <w:rPr>
      <w:rFonts w:ascii="Tahoma" w:hAnsi="Tahoma" w:cs="Tahoma"/>
      <w:sz w:val="16"/>
      <w:szCs w:val="16"/>
    </w:rPr>
  </w:style>
  <w:style w:type="paragraph" w:styleId="BalloonText">
    <w:name w:val="Balloon Text"/>
    <w:basedOn w:val="Normal"/>
    <w:link w:val="BalloonTextChar"/>
    <w:uiPriority w:val="99"/>
    <w:semiHidden/>
    <w:unhideWhenUsed/>
    <w:rsid w:val="00E95253"/>
    <w:rPr>
      <w:rFonts w:ascii="Segoe UI" w:hAnsi="Segoe UI" w:cs="Segoe UI"/>
      <w:sz w:val="18"/>
      <w:szCs w:val="18"/>
    </w:rPr>
  </w:style>
  <w:style w:type="character" w:customStyle="1" w:styleId="BalloonTextChar">
    <w:name w:val="Balloon Text Char"/>
    <w:link w:val="BalloonText"/>
    <w:uiPriority w:val="99"/>
    <w:semiHidden/>
    <w:rsid w:val="00E95253"/>
    <w:rPr>
      <w:rFonts w:ascii="Segoe UI" w:eastAsia="Times New Roman" w:hAnsi="Segoe UI" w:cs="Segoe UI"/>
      <w:sz w:val="18"/>
      <w:szCs w:val="18"/>
      <w:lang w:val="ro-RO" w:eastAsia="ro-RO"/>
    </w:rPr>
  </w:style>
  <w:style w:type="paragraph" w:styleId="ListParagraph">
    <w:name w:val="List Paragraph"/>
    <w:basedOn w:val="Normal"/>
    <w:uiPriority w:val="34"/>
    <w:qFormat/>
    <w:rsid w:val="004A6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93199">
      <w:bodyDiv w:val="1"/>
      <w:marLeft w:val="0"/>
      <w:marRight w:val="0"/>
      <w:marTop w:val="0"/>
      <w:marBottom w:val="0"/>
      <w:divBdr>
        <w:top w:val="none" w:sz="0" w:space="0" w:color="auto"/>
        <w:left w:val="none" w:sz="0" w:space="0" w:color="auto"/>
        <w:bottom w:val="none" w:sz="0" w:space="0" w:color="auto"/>
        <w:right w:val="none" w:sz="0" w:space="0" w:color="auto"/>
      </w:divBdr>
    </w:div>
    <w:div w:id="537789047">
      <w:bodyDiv w:val="1"/>
      <w:marLeft w:val="0"/>
      <w:marRight w:val="0"/>
      <w:marTop w:val="0"/>
      <w:marBottom w:val="0"/>
      <w:divBdr>
        <w:top w:val="none" w:sz="0" w:space="0" w:color="auto"/>
        <w:left w:val="none" w:sz="0" w:space="0" w:color="auto"/>
        <w:bottom w:val="none" w:sz="0" w:space="0" w:color="auto"/>
        <w:right w:val="none" w:sz="0" w:space="0" w:color="auto"/>
      </w:divBdr>
    </w:div>
    <w:div w:id="20432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Anexa la avizul Consiliului Interministerial nr</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la avizul Consiliului Interministerial nr</dc:title>
  <dc:subject/>
  <dc:creator>IRIMES, Luca</dc:creator>
  <cp:keywords/>
  <cp:lastModifiedBy>Adela Vladut</cp:lastModifiedBy>
  <cp:revision>6</cp:revision>
  <cp:lastPrinted>2022-09-01T09:39:00Z</cp:lastPrinted>
  <dcterms:created xsi:type="dcterms:W3CDTF">2022-09-01T09:39:00Z</dcterms:created>
  <dcterms:modified xsi:type="dcterms:W3CDTF">2022-09-02T07:37:00Z</dcterms:modified>
</cp:coreProperties>
</file>