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</w:t>
            </w:r>
            <w:r w:rsidR="006B0A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rectificat</w:t>
            </w:r>
            <w:r w:rsidR="007D7E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 anul 20</w:t>
            </w:r>
            <w:r w:rsidR="001D26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4C3AAB" w:rsidRPr="004C3AAB" w:rsidRDefault="004C3AAB" w:rsidP="004C3AAB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</w:t>
            </w:r>
            <w:proofErr w:type="spellStart"/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Porturilor Dunării Maritime” S.A. </w:t>
            </w:r>
            <w:proofErr w:type="spellStart"/>
            <w:r w:rsidRPr="004C3AAB">
              <w:rPr>
                <w:rFonts w:ascii="Times New Roman" w:hAnsi="Times New Roman" w:cs="Times New Roman"/>
                <w:b/>
                <w:sz w:val="26"/>
                <w:szCs w:val="26"/>
              </w:rPr>
              <w:t>Galaţi</w:t>
            </w:r>
            <w:proofErr w:type="spellEnd"/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AD16AA"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Ministerului Transporturilor, Infrastructurii și Comunicațiilor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7D7E89" w:rsidRDefault="007D7E89" w:rsidP="006B0A42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 w:rsidRPr="006B0A42">
              <w:rPr>
                <w:rFonts w:ascii="Times New Roman" w:hAnsi="Times New Roman" w:cs="Times New Roman"/>
                <w:sz w:val="26"/>
                <w:szCs w:val="26"/>
              </w:rPr>
              <w:t xml:space="preserve">Compania </w:t>
            </w:r>
            <w:proofErr w:type="spellStart"/>
            <w:r w:rsidRPr="006B0A42">
              <w:rPr>
                <w:rFonts w:ascii="Times New Roman" w:hAnsi="Times New Roman" w:cs="Times New Roman"/>
                <w:sz w:val="26"/>
                <w:szCs w:val="26"/>
              </w:rPr>
              <w:t>Naţional</w:t>
            </w:r>
            <w:r w:rsidR="006B0A42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proofErr w:type="spellEnd"/>
            <w:r w:rsidRPr="006B0A42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proofErr w:type="spellStart"/>
            <w:r w:rsidRPr="006B0A42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Pr="006B0A42">
              <w:rPr>
                <w:rFonts w:ascii="Times New Roman" w:hAnsi="Times New Roman" w:cs="Times New Roman"/>
                <w:sz w:val="26"/>
                <w:szCs w:val="26"/>
              </w:rPr>
              <w:t xml:space="preserve"> Porturilor Dunării Maritime” S.A. </w:t>
            </w:r>
            <w:proofErr w:type="spellStart"/>
            <w:r w:rsidRPr="006B0A42">
              <w:rPr>
                <w:rFonts w:ascii="Times New Roman" w:hAnsi="Times New Roman" w:cs="Times New Roman"/>
                <w:sz w:val="26"/>
                <w:szCs w:val="26"/>
              </w:rPr>
              <w:t>Galaţi</w:t>
            </w:r>
            <w:proofErr w:type="spellEnd"/>
            <w:r w:rsidR="006B0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E0A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propune un proiect de buget de venituri și cheltuieli rectificat pe anul 2020</w:t>
            </w:r>
            <w:r w:rsidRPr="00605C88">
              <w:rPr>
                <w:rStyle w:val="l5tlu1"/>
                <w:rFonts w:ascii="Times New Roman" w:hAnsi="Times New Roman" w:cs="Times New Roman"/>
                <w:sz w:val="26"/>
                <w:szCs w:val="26"/>
              </w:rPr>
              <w:t>,</w:t>
            </w:r>
            <w:r w:rsidRPr="00605C88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având în vedere:</w:t>
            </w:r>
          </w:p>
          <w:p w:rsidR="007D7E89" w:rsidRPr="00605C88" w:rsidRDefault="007D7E89" w:rsidP="006B0A42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-</w:t>
            </w:r>
            <w:r w:rsidRPr="00605C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alin (2) lit.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a),</w:t>
            </w:r>
            <w:r w:rsidRPr="00605C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și f)</w:t>
            </w:r>
            <w:r w:rsidRPr="00605C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din</w:t>
            </w:r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Ordonanţa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administrativ-teritoriale sunt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majoritară,  aprobată cu completări prin Legea </w:t>
            </w:r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nr. 47/2014</w:t>
            </w:r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ulterioare;</w:t>
            </w:r>
          </w:p>
          <w:p w:rsidR="007D7E89" w:rsidRDefault="007D7E89" w:rsidP="006B0A42">
            <w:pPr>
              <w:tabs>
                <w:tab w:val="left" w:pos="180"/>
                <w:tab w:val="left" w:pos="36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8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prevederile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O.M.F.P. nr.3818/2019 privind aprobarea formatului </w:t>
            </w:r>
            <w:proofErr w:type="spellStart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structurii bugetului de venituri </w:t>
            </w:r>
            <w:proofErr w:type="spellStart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5171" w:rsidRPr="00745171" w:rsidRDefault="00745171" w:rsidP="006B0A42">
            <w:pPr>
              <w:tabs>
                <w:tab w:val="left" w:pos="180"/>
                <w:tab w:val="left" w:pos="36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-prevederile </w:t>
            </w:r>
            <w:r w:rsidR="006430D3">
              <w:rPr>
                <w:rFonts w:ascii="Times New Roman" w:hAnsi="Times New Roman" w:cs="Times New Roman"/>
                <w:sz w:val="26"/>
                <w:szCs w:val="26"/>
              </w:rPr>
              <w:t>art.</w:t>
            </w:r>
            <w:r w:rsidR="00CE1357">
              <w:rPr>
                <w:rFonts w:ascii="Times New Roman" w:hAnsi="Times New Roman" w:cs="Times New Roman"/>
                <w:sz w:val="26"/>
                <w:szCs w:val="26"/>
              </w:rPr>
              <w:t>19¹</w:t>
            </w:r>
            <w:r w:rsidR="00FE40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0D3">
              <w:rPr>
                <w:rFonts w:ascii="Times New Roman" w:hAnsi="Times New Roman" w:cs="Times New Roman"/>
                <w:sz w:val="26"/>
                <w:szCs w:val="26"/>
              </w:rPr>
              <w:t xml:space="preserve"> din </w:t>
            </w:r>
            <w:r w:rsidRPr="00745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5171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rdonant</w:t>
            </w:r>
            <w:r w:rsidR="006430D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urgenta a Guvernului n</w:t>
            </w:r>
            <w:r w:rsidRPr="00745171">
              <w:rPr>
                <w:rFonts w:ascii="Times New Roman" w:hAnsi="Times New Roman" w:cs="Times New Roman"/>
                <w:sz w:val="26"/>
                <w:szCs w:val="26"/>
              </w:rPr>
              <w:t>r.50/2020 cu privire la rectificarea bugetului de stat pe anul 2020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430D3" w:rsidRPr="00710379" w:rsidRDefault="007D7E89" w:rsidP="006430D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451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prevederile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Ordonanţ</w:t>
            </w:r>
            <w:r w:rsidR="007451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ei</w:t>
            </w:r>
            <w:proofErr w:type="spellEnd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urgenţă</w:t>
            </w:r>
            <w:proofErr w:type="spellEnd"/>
            <w:r w:rsidR="007451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a Guvernului </w:t>
            </w:r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nr. 135/2020 cu privire la rectificarea bugetului de stat pe anul 2020, modificarea unor acte normative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şi</w:t>
            </w:r>
            <w:proofErr w:type="spellEnd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stabilirea unor măsuri bugetare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337CF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1D2622" w:rsidRPr="001D723C" w:rsidRDefault="003479AA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6430D3" w:rsidRPr="001D723C" w:rsidRDefault="0074258C" w:rsidP="006B0A42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Având în vedere</w:t>
            </w:r>
            <w:r w:rsidRPr="001D72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execuția bugetară realizată la data de 30.06.2020, necesarul de resurse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corespunzatoare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trimestrelor III și IV ale anului 2020,</w:t>
            </w:r>
            <w:r w:rsidRPr="001D72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seceta prelungit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care a generat reducerea traficului de cereale în Port</w:t>
            </w:r>
            <w:r w:rsidR="00A92743">
              <w:rPr>
                <w:rFonts w:ascii="Times New Roman" w:hAnsi="Times New Roman" w:cs="Times New Roman"/>
                <w:sz w:val="26"/>
                <w:szCs w:val="26"/>
              </w:rPr>
              <w:t>urile Brăila și Galați, precum ș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 alocarea sum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elor de la bugetul de stat de că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tre ordonatorul principal de credite - Ministerul Tr</w:t>
            </w:r>
            <w:r w:rsidR="00A92743">
              <w:rPr>
                <w:rFonts w:ascii="Times New Roman" w:hAnsi="Times New Roman" w:cs="Times New Roman"/>
                <w:sz w:val="26"/>
                <w:szCs w:val="26"/>
              </w:rPr>
              <w:t>ansporturilor, Infrastructurii ș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Comunicatiilor</w:t>
            </w:r>
            <w:proofErr w:type="spellEnd"/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conform</w:t>
            </w:r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itate cu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prevederil</w:t>
            </w:r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e </w:t>
            </w:r>
            <w:proofErr w:type="spellStart"/>
            <w:r w:rsidR="006B0A42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Ordonanţei</w:t>
            </w:r>
            <w:proofErr w:type="spellEnd"/>
            <w:r w:rsidR="006B0A42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="006B0A42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urgenţă</w:t>
            </w:r>
            <w:proofErr w:type="spellEnd"/>
            <w:r w:rsidR="006B0A42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a Guvernului  nr. 135/2020 privi</w:t>
            </w:r>
            <w:r w:rsidR="006430D3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nd</w:t>
            </w:r>
            <w:r w:rsidR="006B0A42" w:rsidRPr="001D723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rectificarea bugetului de stat pe anul 2020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, C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ompania Naț</w:t>
            </w:r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>ional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proofErr w:type="spellStart"/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Porturilor Dunării Maritime” S.A. </w:t>
            </w:r>
            <w:proofErr w:type="spellStart"/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>Galaţi</w:t>
            </w:r>
            <w:proofErr w:type="spellEnd"/>
            <w:r w:rsidR="006B0A42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propune un proiect de buget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de venituri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cheltuieli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rectificat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pe anul 2020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30D3" w:rsidRPr="001D723C" w:rsidRDefault="006430D3" w:rsidP="006430D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Indicatorii </w:t>
            </w:r>
            <w:proofErr w:type="spellStart"/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economico</w:t>
            </w:r>
            <w:proofErr w:type="spellEnd"/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financiari</w:t>
            </w:r>
            <w:r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FA2F31"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propuși</w:t>
            </w:r>
            <w:r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A2F31"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în proiectul </w:t>
            </w:r>
            <w:r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bugetului de venituri și cheltuieli rectificat pe anul 2020</w:t>
            </w:r>
            <w:r w:rsidR="00FA2F31" w:rsidRPr="001D723C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prezintă următoarele modificări 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față de </w:t>
            </w:r>
            <w:r w:rsidR="00FA2F31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cei aprobați în 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bugetul de venituri și cheltuieli  pe anul 2020,  prin H.G. nr.249/2020:</w:t>
            </w:r>
          </w:p>
          <w:p w:rsidR="006430D3" w:rsidRPr="001D723C" w:rsidRDefault="006430D3" w:rsidP="006430D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-reducerea veniturilor totale cu </w:t>
            </w:r>
            <w:r w:rsidR="00FA2F31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6,72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%;</w:t>
            </w:r>
          </w:p>
          <w:p w:rsidR="006430D3" w:rsidRPr="001D723C" w:rsidRDefault="006430D3" w:rsidP="006430D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FA2F31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reducerea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cheltuielilor totale </w:t>
            </w:r>
            <w:r w:rsidR="00A92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cu </w:t>
            </w:r>
            <w:r w:rsidR="00FA2F31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7,05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%;</w:t>
            </w:r>
          </w:p>
          <w:p w:rsidR="006430D3" w:rsidRPr="001D723C" w:rsidRDefault="006430D3" w:rsidP="006430D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-reducerea  productivit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ă</w:t>
            </w:r>
            <w:r w:rsidR="00A92743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ii muncii cu </w:t>
            </w:r>
            <w:r w:rsidR="00FA2F31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7,47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%;</w:t>
            </w:r>
          </w:p>
          <w:p w:rsidR="00FA2F31" w:rsidRPr="001D723C" w:rsidRDefault="00FA2F31" w:rsidP="006430D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-reducerea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cheltuielilor totale la 1000 lei venituri totale cu 0,35%</w:t>
            </w:r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8F79BF" w:rsidRDefault="008F79BF" w:rsidP="000769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C0DCB" w:rsidRPr="001D723C" w:rsidRDefault="00E17414" w:rsidP="000769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creș</w:t>
            </w:r>
            <w:r w:rsidR="00FA2F31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terea</w:t>
            </w:r>
            <w:proofErr w:type="spellEnd"/>
            <w:r w:rsidR="00FA2F31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</w:t>
            </w:r>
            <w:r w:rsidR="00AC0DCB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uielilor</w:t>
            </w:r>
            <w:proofErr w:type="spellEnd"/>
            <w:r w:rsidR="00AC0DCB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="00AC0DCB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personalul</w:t>
            </w:r>
            <w:proofErr w:type="spellEnd"/>
            <w:r w:rsidR="00AC0DCB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2,72%;</w:t>
            </w:r>
          </w:p>
          <w:p w:rsidR="00FA2F31" w:rsidRPr="001D723C" w:rsidRDefault="00AC0DCB" w:rsidP="000769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creș</w:t>
            </w:r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terea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cheltuielil</w:t>
            </w:r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</w:t>
            </w:r>
            <w:proofErr w:type="spellEnd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natură</w:t>
            </w:r>
            <w:proofErr w:type="spellEnd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salarială</w:t>
            </w:r>
            <w:proofErr w:type="spellEnd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3,21% </w:t>
            </w:r>
            <w:proofErr w:type="spellStart"/>
            <w:r w:rsidR="00E17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față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nivelui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="00723D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F79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după</w:t>
            </w:r>
            <w:proofErr w:type="spellEnd"/>
            <w:r w:rsidR="008F79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cum </w:t>
            </w:r>
            <w:proofErr w:type="spellStart"/>
            <w:r w:rsidR="008F79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urmează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23D06" w:rsidRDefault="00AC0DCB" w:rsidP="004961C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>creșterea salarial</w:t>
            </w:r>
            <w:r w:rsidR="00E17414" w:rsidRPr="00723D06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 xml:space="preserve"> la personalul navigant conform negocierii acestora cu </w:t>
            </w:r>
          </w:p>
          <w:p w:rsidR="00AC0DCB" w:rsidRPr="00723D06" w:rsidRDefault="00AC0DCB" w:rsidP="00723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>organizația de sindicat</w:t>
            </w:r>
            <w:r w:rsidR="00723D06" w:rsidRPr="00723D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 xml:space="preserve"> în cadrul consultărilor privind bugetul de venituri și cheltuieli rectificat pe anul 2020;</w:t>
            </w: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:rsidR="00723D06" w:rsidRDefault="00723D06" w:rsidP="00076973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creșterea </w:t>
            </w:r>
            <w:r w:rsidR="00AC0DCB" w:rsidRPr="001D723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heltuielilor</w:t>
            </w:r>
            <w:r w:rsidR="00AC0DCB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cu sporurile, primele și alte bonificații aferente salariului </w:t>
            </w:r>
          </w:p>
          <w:p w:rsidR="00AC0DCB" w:rsidRPr="001D723C" w:rsidRDefault="00AC0DCB" w:rsidP="00723D0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>de bază</w:t>
            </w:r>
            <w:r w:rsidR="00723D06" w:rsidRPr="00723D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79BF">
              <w:rPr>
                <w:rFonts w:ascii="Times New Roman" w:hAnsi="Times New Roman" w:cs="Times New Roman"/>
                <w:sz w:val="26"/>
                <w:szCs w:val="26"/>
              </w:rPr>
              <w:t>prevazută</w:t>
            </w:r>
            <w:proofErr w:type="spellEnd"/>
            <w:r w:rsidR="008F79BF">
              <w:rPr>
                <w:rFonts w:ascii="Times New Roman" w:hAnsi="Times New Roman" w:cs="Times New Roman"/>
                <w:sz w:val="26"/>
                <w:szCs w:val="26"/>
              </w:rPr>
              <w:t xml:space="preserve"> în Contractul Colectiv de Muncă și permisă legal,</w:t>
            </w:r>
            <w:r w:rsidR="00E0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D06">
              <w:rPr>
                <w:rFonts w:ascii="Times New Roman" w:hAnsi="Times New Roman" w:cs="Times New Roman"/>
                <w:sz w:val="26"/>
                <w:szCs w:val="26"/>
              </w:rPr>
              <w:t xml:space="preserve">datorită </w:t>
            </w:r>
            <w:r w:rsidR="00E07CDC">
              <w:rPr>
                <w:rFonts w:ascii="Times New Roman" w:hAnsi="Times New Roman" w:cs="Times New Roman"/>
                <w:sz w:val="26"/>
                <w:szCs w:val="26"/>
              </w:rPr>
              <w:t xml:space="preserve">modificării </w:t>
            </w:r>
            <w:r w:rsidR="00723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art. 48, al.1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lit.d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) din Legea bugetului de stat nr.5 pe anul 2020</w:t>
            </w:r>
            <w:r w:rsidR="00D45E90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prin</w:t>
            </w:r>
            <w:r w:rsidR="00D45E90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art.19</w:t>
            </w:r>
            <w:r w:rsidR="00CE1357">
              <w:rPr>
                <w:rFonts w:ascii="Times New Roman" w:hAnsi="Times New Roman" w:cs="Times New Roman"/>
                <w:sz w:val="26"/>
                <w:szCs w:val="26"/>
              </w:rPr>
              <w:t>¹</w:t>
            </w:r>
            <w:r w:rsidR="00D45E90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din  O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rdonanța de urgență</w:t>
            </w:r>
            <w:r w:rsidR="00D45E90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a Guvernului nr.50/2020 cu privire la rectificarea bugetului de stat pe anul 2020</w:t>
            </w:r>
            <w:r w:rsidR="00D45E90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30D3" w:rsidRPr="001D723C" w:rsidRDefault="00E17414" w:rsidP="0007697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</w:t>
            </w:r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stigului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mediu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lunar </w:t>
            </w:r>
            <w:proofErr w:type="spellStart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salariat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3,31%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creșterii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salarială</w:t>
            </w:r>
            <w:proofErr w:type="spellEnd"/>
            <w:r w:rsidR="00B96A0D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6430D3" w:rsidRPr="001D723C" w:rsidRDefault="006430D3" w:rsidP="0007697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creș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terea surselor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finan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are a investi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iilor cu 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5,18 % urmarea </w:t>
            </w:r>
            <w:r w:rsidR="00076973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major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ă</w:t>
            </w:r>
            <w:r w:rsidR="00076973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rii 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sumelor</w:t>
            </w:r>
            <w:r w:rsidR="00076973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alocate 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la buget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ul de stat  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ș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i din fondurile externe nerambursabile – POIM</w:t>
            </w:r>
            <w:r w:rsidR="00247B14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conform prevederilor </w:t>
            </w:r>
            <w:r w:rsidR="00B96A0D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Ordonan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="00247B14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ei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urgen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ță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 Guvernului nr.135/2020; </w:t>
            </w:r>
          </w:p>
          <w:p w:rsidR="006430D3" w:rsidRPr="001D723C" w:rsidRDefault="006430D3" w:rsidP="0007697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-cheltuielile pentru investi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ii au crescut la</w:t>
            </w:r>
            <w:r w:rsidR="00247B14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nivelul surselor de investi</w:t>
            </w:r>
            <w:r w:rsidR="00E17414">
              <w:rPr>
                <w:rFonts w:ascii="Times New Roman" w:hAnsi="Times New Roman" w:cs="Times New Roman"/>
                <w:bCs/>
                <w:sz w:val="26"/>
                <w:szCs w:val="26"/>
              </w:rPr>
              <w:t>ț</w:t>
            </w:r>
            <w:r w:rsidR="00247B14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ii </w:t>
            </w:r>
            <w:r w:rsidR="00076973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cu </w:t>
            </w:r>
            <w:r w:rsidR="00247B14"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5,18%</w:t>
            </w: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430D3" w:rsidRPr="001D723C" w:rsidRDefault="006430D3" w:rsidP="0007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-indicatorii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economico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- financiari</w:t>
            </w:r>
            <w:r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247B14" w:rsidRPr="001D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numărul de personal prognozat la finele anului,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 xml:space="preserve"> numă</w:t>
            </w:r>
            <w:r w:rsidR="00AC0DCB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rul mediu de personal,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7B14" w:rsidRPr="001D723C">
              <w:rPr>
                <w:rFonts w:ascii="Times New Roman" w:hAnsi="Times New Roman" w:cs="Times New Roman"/>
                <w:sz w:val="26"/>
                <w:szCs w:val="26"/>
              </w:rPr>
              <w:t>profitul net, valoarea dividendelor cu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venite bugetului de stat, creanț</w:t>
            </w:r>
            <w:r w:rsidR="00247B14" w:rsidRPr="001D723C">
              <w:rPr>
                <w:rFonts w:ascii="Times New Roman" w:hAnsi="Times New Roman" w:cs="Times New Roman"/>
                <w:sz w:val="26"/>
                <w:szCs w:val="26"/>
              </w:rPr>
              <w:t>ele restante</w:t>
            </w:r>
            <w:r w:rsidR="00AC0DCB" w:rsidRPr="001D72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7B14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au rămas nemodificați față de  cei 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prevă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zu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 în bugetul de venituri și cheltuieli</w:t>
            </w:r>
            <w:r w:rsidR="00076973" w:rsidRPr="001D72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aprobat pe anul 2020, prin HG. 2</w:t>
            </w:r>
            <w:r w:rsidR="00247B14" w:rsidRPr="001D723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/2020.</w:t>
            </w:r>
          </w:p>
          <w:p w:rsidR="001D2622" w:rsidRDefault="00247B14" w:rsidP="00076973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Compania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Naţional</w:t>
            </w:r>
            <w:r w:rsidR="00E17414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Porturilor Dunării Maritime” S.A.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Galaţi</w:t>
            </w:r>
            <w:proofErr w:type="spellEnd"/>
            <w:r w:rsidR="00076973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0D3"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nu a  înregistrat în anul 2019 plăți restante și nu va înregistra nici la data de 31.12.2020.</w:t>
            </w:r>
          </w:p>
          <w:p w:rsidR="008F79BF" w:rsidRPr="001D723C" w:rsidRDefault="008F79BF" w:rsidP="00076973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Alte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8F79BF" w:rsidRPr="001D723C" w:rsidRDefault="008F79BF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5BB4" w:rsidRPr="001D723C" w:rsidRDefault="00855BB4" w:rsidP="00855BB4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Realitatea datelor prezentate în proiectul bugetului de venituri și cheltuieli rectificat pe anul 2020, aparține Ministerului Transporturilor, Infrastructurii și Comunicațiilor și organelor de conducere ale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Companiei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Porturilor Dunării Maritime” S.A.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Galaţi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5BB4" w:rsidRPr="001D723C" w:rsidRDefault="00855BB4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8F79BF" w:rsidRDefault="008F79BF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proiectului de act normativ</w:t>
            </w:r>
          </w:p>
          <w:p w:rsidR="008F79BF" w:rsidRPr="001D723C" w:rsidRDefault="008F79BF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1D723C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1D723C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1D723C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1D723C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082CB9" w:rsidRDefault="00082CB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082CB9" w:rsidRPr="001D723C" w:rsidRDefault="00082CB9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1D723C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1D723C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1D723C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1D723C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rPr>
          <w:trHeight w:val="530"/>
        </w:trPr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2. Modificări ale cheltuielilor bugetare, plus/minus, din care: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1D723C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1D723C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1D723C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1D723C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1D723C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1D723C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1D723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Propuneri pentru acoperirea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4840" w:type="dxa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Pr="001D723C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Efectele proiectului de act normativ asupra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1D723C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  <w:p w:rsidR="003479AA" w:rsidRPr="001D723C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Pr="001D723C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1D72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1D72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1D723C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1D723C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acte normative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Pr="001D723C" w:rsidRDefault="003479AA" w:rsidP="00D968AE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proiectului de act normativ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1D723C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1D723C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Pr="001D723C" w:rsidRDefault="003479AA" w:rsidP="00082CB9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proiectului de act normativ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BB2E5A" w:rsidRDefault="00BB2E5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la nivelul Guvernului, pentru elaborarea, avizarea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1D723C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Pr="001D723C" w:rsidRDefault="003479AA" w:rsidP="00082CB9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2221ED" w:rsidRPr="001D723C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Pr="001D723C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1D723C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1D723C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1D723C" w:rsidTr="00497023">
        <w:tc>
          <w:tcPr>
            <w:tcW w:w="9487" w:type="dxa"/>
            <w:gridSpan w:val="8"/>
          </w:tcPr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1D72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1D723C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23C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1D723C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1D723C"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1D723C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1D723C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247B14">
        <w:rPr>
          <w:rFonts w:ascii="Times New Roman" w:hAnsi="Times New Roman" w:cs="Times New Roman"/>
          <w:sz w:val="26"/>
          <w:szCs w:val="26"/>
          <w:lang w:eastAsia="ro-RO"/>
        </w:rPr>
        <w:t xml:space="preserve">rectificat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="008354A0" w:rsidRPr="008354A0">
        <w:t xml:space="preserve"> </w:t>
      </w:r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 xml:space="preserve">Companiei </w:t>
      </w:r>
      <w:proofErr w:type="spellStart"/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>Naţionale</w:t>
      </w:r>
      <w:proofErr w:type="spellEnd"/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 xml:space="preserve"> „</w:t>
      </w:r>
      <w:proofErr w:type="spellStart"/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>Administraţia</w:t>
      </w:r>
      <w:proofErr w:type="spellEnd"/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 xml:space="preserve"> Porturilor Dunării Maritime” S.A. </w:t>
      </w:r>
      <w:proofErr w:type="spellStart"/>
      <w:r w:rsidR="008354A0" w:rsidRPr="008354A0">
        <w:rPr>
          <w:rFonts w:ascii="Times New Roman" w:hAnsi="Times New Roman" w:cs="Times New Roman"/>
          <w:sz w:val="26"/>
          <w:szCs w:val="26"/>
          <w:lang w:eastAsia="ro-RO"/>
        </w:rPr>
        <w:t>Galaţi</w:t>
      </w:r>
      <w:proofErr w:type="spellEnd"/>
      <w:r w:rsidR="008354A0">
        <w:rPr>
          <w:rFonts w:ascii="Times New Roman" w:hAnsi="Times New Roman" w:cs="Times New Roman"/>
          <w:sz w:val="26"/>
          <w:szCs w:val="26"/>
          <w:lang w:eastAsia="ro-RO"/>
        </w:rPr>
        <w:t>,</w:t>
      </w:r>
      <w:r w:rsidR="001D2622">
        <w:rPr>
          <w:rFonts w:ascii="Times New Roman" w:hAnsi="Times New Roman" w:cs="Times New Roman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AD16AA" w:rsidRPr="00AD16AA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82CB9" w:rsidRDefault="00082CB9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011E95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11E95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011E95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011E95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66F" w:rsidRPr="004209D0" w:rsidRDefault="0013066F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66F" w:rsidRPr="00182EA0" w:rsidRDefault="0013066F" w:rsidP="0013066F">
      <w:pPr>
        <w:jc w:val="center"/>
        <w:rPr>
          <w:rFonts w:ascii="Times New Roman" w:hAnsi="Times New Roman" w:cs="Times New Roman"/>
          <w:sz w:val="26"/>
          <w:szCs w:val="26"/>
        </w:rPr>
      </w:pPr>
      <w:r w:rsidRPr="00182EA0">
        <w:rPr>
          <w:rFonts w:ascii="Times New Roman" w:hAnsi="Times New Roman" w:cs="Times New Roman"/>
          <w:b/>
          <w:sz w:val="26"/>
          <w:szCs w:val="26"/>
        </w:rPr>
        <w:t xml:space="preserve">DIRECŢIA TRANSPORT </w:t>
      </w:r>
      <w:r>
        <w:rPr>
          <w:rFonts w:ascii="Times New Roman" w:hAnsi="Times New Roman" w:cs="Times New Roman"/>
          <w:b/>
          <w:sz w:val="26"/>
          <w:szCs w:val="26"/>
        </w:rPr>
        <w:t>NAVAL</w:t>
      </w:r>
    </w:p>
    <w:p w:rsidR="0013066F" w:rsidRPr="00182EA0" w:rsidRDefault="0013066F" w:rsidP="00130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EA0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13066F" w:rsidRPr="00182EA0" w:rsidRDefault="0013066F" w:rsidP="001306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Gabriela MURGEANU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66F" w:rsidRPr="004209D0" w:rsidRDefault="0013066F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  <w:r w:rsidR="008D311A">
        <w:rPr>
          <w:rFonts w:ascii="Times New Roman" w:hAnsi="Times New Roman" w:cs="Times New Roman"/>
          <w:b/>
          <w:sz w:val="26"/>
          <w:szCs w:val="26"/>
        </w:rPr>
        <w:t>ȘI AJUTOR DE STAT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4209D0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D5" w:rsidRDefault="001541D5">
      <w:pPr>
        <w:spacing w:after="0" w:line="240" w:lineRule="auto"/>
      </w:pPr>
      <w:r>
        <w:separator/>
      </w:r>
    </w:p>
  </w:endnote>
  <w:endnote w:type="continuationSeparator" w:id="0">
    <w:p w:rsidR="001541D5" w:rsidRDefault="001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D5" w:rsidRDefault="001541D5">
      <w:pPr>
        <w:spacing w:after="0" w:line="240" w:lineRule="auto"/>
      </w:pPr>
      <w:r>
        <w:separator/>
      </w:r>
    </w:p>
  </w:footnote>
  <w:footnote w:type="continuationSeparator" w:id="0">
    <w:p w:rsidR="001541D5" w:rsidRDefault="0015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C41"/>
    <w:multiLevelType w:val="hybridMultilevel"/>
    <w:tmpl w:val="19C2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CD5C21"/>
    <w:multiLevelType w:val="hybridMultilevel"/>
    <w:tmpl w:val="33AA57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1E95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6973"/>
    <w:rsid w:val="000772C4"/>
    <w:rsid w:val="00080602"/>
    <w:rsid w:val="00082CB9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050B5"/>
    <w:rsid w:val="0011648D"/>
    <w:rsid w:val="001206CA"/>
    <w:rsid w:val="00122E26"/>
    <w:rsid w:val="0012531D"/>
    <w:rsid w:val="00125588"/>
    <w:rsid w:val="0013066F"/>
    <w:rsid w:val="00130C41"/>
    <w:rsid w:val="00132C57"/>
    <w:rsid w:val="00132EB8"/>
    <w:rsid w:val="001363DD"/>
    <w:rsid w:val="001364C6"/>
    <w:rsid w:val="0014092F"/>
    <w:rsid w:val="001541D5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D2622"/>
    <w:rsid w:val="001D723C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47B14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2C46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8626F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3F63B0"/>
    <w:rsid w:val="00403A14"/>
    <w:rsid w:val="00406152"/>
    <w:rsid w:val="00407862"/>
    <w:rsid w:val="00413B68"/>
    <w:rsid w:val="004209D0"/>
    <w:rsid w:val="004223E0"/>
    <w:rsid w:val="00422F2E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3AAB"/>
    <w:rsid w:val="004C44DF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30D3"/>
    <w:rsid w:val="00644359"/>
    <w:rsid w:val="00644F60"/>
    <w:rsid w:val="00647025"/>
    <w:rsid w:val="00647A0F"/>
    <w:rsid w:val="00653FD3"/>
    <w:rsid w:val="006577A5"/>
    <w:rsid w:val="00665BBE"/>
    <w:rsid w:val="00671C3F"/>
    <w:rsid w:val="00673B0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0A42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3D06"/>
    <w:rsid w:val="00726B66"/>
    <w:rsid w:val="00731DC3"/>
    <w:rsid w:val="007377AC"/>
    <w:rsid w:val="0074258C"/>
    <w:rsid w:val="00745171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C79D7"/>
    <w:rsid w:val="007D2CE4"/>
    <w:rsid w:val="007D7E89"/>
    <w:rsid w:val="007E1658"/>
    <w:rsid w:val="007E7664"/>
    <w:rsid w:val="00801E77"/>
    <w:rsid w:val="00802C0D"/>
    <w:rsid w:val="0080594B"/>
    <w:rsid w:val="00805CE8"/>
    <w:rsid w:val="00831C96"/>
    <w:rsid w:val="00833673"/>
    <w:rsid w:val="008354A0"/>
    <w:rsid w:val="008363E2"/>
    <w:rsid w:val="00840095"/>
    <w:rsid w:val="008456E6"/>
    <w:rsid w:val="00845714"/>
    <w:rsid w:val="00852E8F"/>
    <w:rsid w:val="00855BB4"/>
    <w:rsid w:val="00856E57"/>
    <w:rsid w:val="00861EFA"/>
    <w:rsid w:val="00881D94"/>
    <w:rsid w:val="00882E3B"/>
    <w:rsid w:val="00883847"/>
    <w:rsid w:val="00886D70"/>
    <w:rsid w:val="00892541"/>
    <w:rsid w:val="00897988"/>
    <w:rsid w:val="008B287F"/>
    <w:rsid w:val="008B5DFE"/>
    <w:rsid w:val="008D311A"/>
    <w:rsid w:val="008E1ACD"/>
    <w:rsid w:val="008E606C"/>
    <w:rsid w:val="008E7F35"/>
    <w:rsid w:val="008F08BB"/>
    <w:rsid w:val="008F191D"/>
    <w:rsid w:val="008F79BF"/>
    <w:rsid w:val="0091268B"/>
    <w:rsid w:val="00913BF5"/>
    <w:rsid w:val="00916671"/>
    <w:rsid w:val="009204FF"/>
    <w:rsid w:val="00924FE4"/>
    <w:rsid w:val="00926050"/>
    <w:rsid w:val="00936F7C"/>
    <w:rsid w:val="009371F9"/>
    <w:rsid w:val="00937301"/>
    <w:rsid w:val="00942B4A"/>
    <w:rsid w:val="009526BA"/>
    <w:rsid w:val="00955684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12B61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743"/>
    <w:rsid w:val="00A92A29"/>
    <w:rsid w:val="00A93290"/>
    <w:rsid w:val="00A96A59"/>
    <w:rsid w:val="00AA2E42"/>
    <w:rsid w:val="00AA35A4"/>
    <w:rsid w:val="00AA5FD8"/>
    <w:rsid w:val="00AA7B8E"/>
    <w:rsid w:val="00AC0DCB"/>
    <w:rsid w:val="00AD01EF"/>
    <w:rsid w:val="00AD16AA"/>
    <w:rsid w:val="00AD30A2"/>
    <w:rsid w:val="00AE42B1"/>
    <w:rsid w:val="00AE5FB7"/>
    <w:rsid w:val="00B074E9"/>
    <w:rsid w:val="00B11039"/>
    <w:rsid w:val="00B11080"/>
    <w:rsid w:val="00B20384"/>
    <w:rsid w:val="00B20525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96A0D"/>
    <w:rsid w:val="00BA595E"/>
    <w:rsid w:val="00BA5F0F"/>
    <w:rsid w:val="00BB286A"/>
    <w:rsid w:val="00BB2E5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E1357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41B2A"/>
    <w:rsid w:val="00D42FB1"/>
    <w:rsid w:val="00D4429C"/>
    <w:rsid w:val="00D45E0C"/>
    <w:rsid w:val="00D45E90"/>
    <w:rsid w:val="00D55E3E"/>
    <w:rsid w:val="00D57CB1"/>
    <w:rsid w:val="00D83A52"/>
    <w:rsid w:val="00D843E6"/>
    <w:rsid w:val="00D9588E"/>
    <w:rsid w:val="00D968AE"/>
    <w:rsid w:val="00DA1DBB"/>
    <w:rsid w:val="00DC3082"/>
    <w:rsid w:val="00DC436C"/>
    <w:rsid w:val="00DD4F9B"/>
    <w:rsid w:val="00DE369F"/>
    <w:rsid w:val="00DF2D5E"/>
    <w:rsid w:val="00DF5B09"/>
    <w:rsid w:val="00E06B09"/>
    <w:rsid w:val="00E07CDC"/>
    <w:rsid w:val="00E1250C"/>
    <w:rsid w:val="00E17414"/>
    <w:rsid w:val="00E267E2"/>
    <w:rsid w:val="00E30DDE"/>
    <w:rsid w:val="00E331D6"/>
    <w:rsid w:val="00E349C4"/>
    <w:rsid w:val="00E54952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1CC8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87E15"/>
    <w:rsid w:val="00FA1347"/>
    <w:rsid w:val="00FA2F31"/>
    <w:rsid w:val="00FA5E75"/>
    <w:rsid w:val="00FB176D"/>
    <w:rsid w:val="00FB183D"/>
    <w:rsid w:val="00FB3D0A"/>
    <w:rsid w:val="00FB7C55"/>
    <w:rsid w:val="00FC2EFE"/>
    <w:rsid w:val="00FE380F"/>
    <w:rsid w:val="00FE4067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  <w:style w:type="character" w:customStyle="1" w:styleId="l5tlu1">
    <w:name w:val="l5tlu1"/>
    <w:basedOn w:val="DefaultParagraphFont"/>
    <w:rsid w:val="007D7E89"/>
    <w:rPr>
      <w:b/>
      <w:bCs/>
      <w:color w:val="000000"/>
      <w:sz w:val="32"/>
      <w:szCs w:val="32"/>
    </w:rPr>
  </w:style>
  <w:style w:type="character" w:customStyle="1" w:styleId="l5com1">
    <w:name w:val="l5com1"/>
    <w:basedOn w:val="DefaultParagraphFont"/>
    <w:rsid w:val="006430D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basedOn w:val="DefaultParagraphFont"/>
    <w:rsid w:val="006430D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DefaultParagraphFont"/>
    <w:rsid w:val="006430D3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6430D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3</cp:revision>
  <cp:lastPrinted>2020-09-28T08:47:00Z</cp:lastPrinted>
  <dcterms:created xsi:type="dcterms:W3CDTF">2020-10-05T08:37:00Z</dcterms:created>
  <dcterms:modified xsi:type="dcterms:W3CDTF">2020-10-05T08:40:00Z</dcterms:modified>
</cp:coreProperties>
</file>