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4D" w:rsidRDefault="00145EBD" w:rsidP="004D4C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D4CB2">
        <w:rPr>
          <w:rFonts w:ascii="Trebuchet MS" w:eastAsia="MS Mincho" w:hAnsi="Trebuchet MS"/>
          <w:noProof/>
          <w:sz w:val="24"/>
          <w:szCs w:val="24"/>
          <w:lang w:val="en-US"/>
        </w:rPr>
        <w:drawing>
          <wp:inline distT="0" distB="0" distL="0" distR="0" wp14:anchorId="002AA0CC" wp14:editId="7E674FDA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2" w:rsidRDefault="004D4CB2" w:rsidP="004D4C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340180" w:rsidRPr="004D4CB2" w:rsidRDefault="00340180" w:rsidP="004D4C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B2E02" w:rsidRPr="00340180" w:rsidRDefault="000B2E02" w:rsidP="00D07303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340180">
        <w:rPr>
          <w:rFonts w:ascii="Trebuchet MS" w:eastAsiaTheme="minorEastAsia" w:hAnsi="Trebuchet MS" w:cs="Times New Roman"/>
          <w:b/>
          <w:lang w:eastAsia="zh-CN"/>
        </w:rPr>
        <w:t xml:space="preserve">O R D I N </w:t>
      </w:r>
      <w:r w:rsidR="00145EBD" w:rsidRPr="00340180">
        <w:rPr>
          <w:rFonts w:ascii="Trebuchet MS" w:eastAsiaTheme="minorEastAsia" w:hAnsi="Trebuchet MS" w:cs="Times New Roman"/>
          <w:b/>
          <w:lang w:eastAsia="zh-CN"/>
        </w:rPr>
        <w:t xml:space="preserve"> </w:t>
      </w:r>
      <w:r w:rsidR="00931625" w:rsidRPr="00340180">
        <w:rPr>
          <w:rFonts w:ascii="Trebuchet MS" w:eastAsiaTheme="minorEastAsia" w:hAnsi="Trebuchet MS" w:cs="Times New Roman"/>
          <w:b/>
          <w:lang w:eastAsia="zh-CN"/>
        </w:rPr>
        <w:t>n</w:t>
      </w:r>
      <w:r w:rsidR="00145EBD" w:rsidRPr="00340180">
        <w:rPr>
          <w:rFonts w:ascii="Trebuchet MS" w:eastAsiaTheme="minorEastAsia" w:hAnsi="Trebuchet MS" w:cs="Times New Roman"/>
          <w:b/>
          <w:lang w:eastAsia="zh-CN"/>
        </w:rPr>
        <w:t>r. ……..</w:t>
      </w:r>
      <w:r w:rsidR="008E7C64" w:rsidRPr="00340180">
        <w:rPr>
          <w:rFonts w:ascii="Trebuchet MS" w:eastAsiaTheme="minorEastAsia" w:hAnsi="Trebuchet MS" w:cs="Times New Roman"/>
          <w:b/>
          <w:lang w:eastAsia="zh-CN"/>
        </w:rPr>
        <w:t xml:space="preserve"> </w:t>
      </w:r>
      <w:r w:rsidR="00145EBD" w:rsidRPr="00340180">
        <w:rPr>
          <w:rFonts w:ascii="Trebuchet MS" w:eastAsiaTheme="minorEastAsia" w:hAnsi="Trebuchet MS" w:cs="Times New Roman"/>
          <w:b/>
          <w:lang w:eastAsia="zh-CN"/>
        </w:rPr>
        <w:t>din ……………</w:t>
      </w:r>
    </w:p>
    <w:p w:rsidR="001F522E" w:rsidRPr="00340180" w:rsidRDefault="001F522E" w:rsidP="00D073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</w:p>
    <w:p w:rsidR="00C73D44" w:rsidRPr="00340180" w:rsidRDefault="00F771A9" w:rsidP="00D073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lang w:eastAsia="zh-CN"/>
        </w:rPr>
      </w:pPr>
      <w:r w:rsidRPr="00340180">
        <w:rPr>
          <w:rFonts w:ascii="Trebuchet MS" w:hAnsi="Trebuchet MS" w:cs="Times New Roman"/>
          <w:b/>
          <w:lang w:eastAsia="zh-CN"/>
        </w:rPr>
        <w:t>p</w:t>
      </w:r>
      <w:r w:rsidR="001144D1" w:rsidRPr="00340180">
        <w:rPr>
          <w:rFonts w:ascii="Trebuchet MS" w:hAnsi="Trebuchet MS" w:cs="Times New Roman"/>
          <w:b/>
          <w:lang w:eastAsia="zh-CN"/>
        </w:rPr>
        <w:t>r</w:t>
      </w:r>
      <w:r w:rsidR="001F522E" w:rsidRPr="00340180">
        <w:rPr>
          <w:rFonts w:ascii="Trebuchet MS" w:hAnsi="Trebuchet MS" w:cs="Times New Roman"/>
          <w:b/>
          <w:lang w:eastAsia="zh-CN"/>
        </w:rPr>
        <w:t xml:space="preserve">ivind </w:t>
      </w:r>
      <w:r w:rsidR="005E4CA6" w:rsidRPr="00340180">
        <w:rPr>
          <w:rFonts w:ascii="Trebuchet MS" w:hAnsi="Trebuchet MS" w:cs="Times New Roman"/>
          <w:b/>
          <w:lang w:eastAsia="zh-CN"/>
        </w:rPr>
        <w:t xml:space="preserve">modificarea </w:t>
      </w:r>
      <w:r w:rsidR="00C73D44" w:rsidRPr="00340180">
        <w:rPr>
          <w:rFonts w:ascii="Trebuchet MS" w:hAnsi="Trebuchet MS" w:cs="Times New Roman"/>
          <w:b/>
          <w:lang w:eastAsia="zh-CN"/>
        </w:rPr>
        <w:t xml:space="preserve">Regulamentului privind criteriile minime de pregătire, perfecționare și </w:t>
      </w:r>
      <w:r w:rsidR="00E94EBD">
        <w:rPr>
          <w:rFonts w:ascii="Trebuchet MS" w:hAnsi="Trebuchet MS" w:cs="Times New Roman"/>
          <w:b/>
          <w:lang w:eastAsia="zh-CN"/>
        </w:rPr>
        <w:t>brevetare</w:t>
      </w:r>
      <w:r w:rsidR="00C73D44" w:rsidRPr="00340180">
        <w:rPr>
          <w:rFonts w:ascii="Trebuchet MS" w:hAnsi="Trebuchet MS" w:cs="Times New Roman"/>
          <w:b/>
          <w:lang w:eastAsia="zh-CN"/>
        </w:rPr>
        <w:t xml:space="preserve"> a piloților ma</w:t>
      </w:r>
      <w:r w:rsidR="00E94EBD">
        <w:rPr>
          <w:rFonts w:ascii="Trebuchet MS" w:hAnsi="Trebuchet MS" w:cs="Times New Roman"/>
          <w:b/>
          <w:lang w:eastAsia="zh-CN"/>
        </w:rPr>
        <w:t>r</w:t>
      </w:r>
      <w:r w:rsidR="00C73D44" w:rsidRPr="00340180">
        <w:rPr>
          <w:rFonts w:ascii="Trebuchet MS" w:hAnsi="Trebuchet MS" w:cs="Times New Roman"/>
          <w:b/>
          <w:lang w:eastAsia="zh-CN"/>
        </w:rPr>
        <w:t>i</w:t>
      </w:r>
      <w:r w:rsidR="00E94EBD">
        <w:rPr>
          <w:rFonts w:ascii="Trebuchet MS" w:hAnsi="Trebuchet MS" w:cs="Times New Roman"/>
          <w:b/>
          <w:lang w:eastAsia="zh-CN"/>
        </w:rPr>
        <w:t>ti</w:t>
      </w:r>
      <w:r w:rsidR="00C73D44" w:rsidRPr="00340180">
        <w:rPr>
          <w:rFonts w:ascii="Trebuchet MS" w:hAnsi="Trebuchet MS" w:cs="Times New Roman"/>
          <w:b/>
          <w:lang w:eastAsia="zh-CN"/>
        </w:rPr>
        <w:t>mi, alții decât piloții de mare largă, aprobat prin Ordinul ministrului transporturilor nr. 335/2018</w:t>
      </w:r>
    </w:p>
    <w:p w:rsidR="00E60729" w:rsidRDefault="00E60729" w:rsidP="00D073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:rsidR="00340180" w:rsidRPr="00340180" w:rsidRDefault="00340180" w:rsidP="00D073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:rsidR="00145EBD" w:rsidRPr="00340180" w:rsidRDefault="00145EBD" w:rsidP="00D07303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Cs/>
        </w:rPr>
      </w:pPr>
      <w:r w:rsidRPr="00340180">
        <w:rPr>
          <w:rFonts w:ascii="Trebuchet MS" w:hAnsi="Trebuchet MS" w:cs="Times New Roman"/>
          <w:bCs/>
        </w:rPr>
        <w:t xml:space="preserve">Ministrul transporturilor, </w:t>
      </w:r>
    </w:p>
    <w:p w:rsidR="00C73D44" w:rsidRPr="00340180" w:rsidRDefault="00C73D44" w:rsidP="00D0730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rebuchet MS" w:eastAsiaTheme="minorEastAsia" w:hAnsi="Trebuchet MS" w:cs="Times New Roman"/>
          <w:iCs/>
          <w:lang w:eastAsia="zh-CN"/>
        </w:rPr>
      </w:pPr>
    </w:p>
    <w:p w:rsidR="00C73D44" w:rsidRPr="00340180" w:rsidRDefault="00CA05FB" w:rsidP="00D0730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rebuchet MS" w:hAnsi="Trebuchet MS" w:cs="Times New Roman"/>
          <w:lang w:eastAsia="zh-CN"/>
        </w:rPr>
      </w:pPr>
      <w:r w:rsidRPr="00340180">
        <w:rPr>
          <w:rFonts w:ascii="Trebuchet MS" w:hAnsi="Trebuchet MS" w:cs="Times New Roman"/>
          <w:lang w:eastAsia="zh-CN"/>
        </w:rPr>
        <w:t xml:space="preserve">având în vedere referatul </w:t>
      </w:r>
      <w:proofErr w:type="spellStart"/>
      <w:r w:rsidRPr="00340180">
        <w:rPr>
          <w:rFonts w:ascii="Trebuchet MS" w:hAnsi="Trebuchet MS" w:cs="Times New Roman"/>
          <w:lang w:eastAsia="zh-CN"/>
        </w:rPr>
        <w:t>Direcţiei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Transport Naval nr. 9980/511/25.06.2019 pentru modificarea </w:t>
      </w:r>
      <w:proofErr w:type="spellStart"/>
      <w:r w:rsidRPr="00340180">
        <w:rPr>
          <w:rFonts w:ascii="Trebuchet MS" w:hAnsi="Trebuchet MS" w:cs="Times New Roman"/>
          <w:lang w:eastAsia="zh-CN"/>
        </w:rPr>
        <w:t>şi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completarea Regulamentului privind criteriile minime de pregătire, </w:t>
      </w:r>
      <w:proofErr w:type="spellStart"/>
      <w:r w:rsidRPr="00340180">
        <w:rPr>
          <w:rFonts w:ascii="Trebuchet MS" w:hAnsi="Trebuchet MS" w:cs="Times New Roman"/>
          <w:lang w:eastAsia="zh-CN"/>
        </w:rPr>
        <w:t>perfecţionare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</w:t>
      </w:r>
      <w:proofErr w:type="spellStart"/>
      <w:r w:rsidRPr="00340180">
        <w:rPr>
          <w:rFonts w:ascii="Trebuchet MS" w:hAnsi="Trebuchet MS" w:cs="Times New Roman"/>
          <w:lang w:eastAsia="zh-CN"/>
        </w:rPr>
        <w:t>şi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certificare a </w:t>
      </w:r>
      <w:proofErr w:type="spellStart"/>
      <w:r w:rsidRPr="00340180">
        <w:rPr>
          <w:rFonts w:ascii="Trebuchet MS" w:hAnsi="Trebuchet MS" w:cs="Times New Roman"/>
          <w:lang w:eastAsia="zh-CN"/>
        </w:rPr>
        <w:t>piloţilor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maritimi, </w:t>
      </w:r>
      <w:proofErr w:type="spellStart"/>
      <w:r w:rsidRPr="00340180">
        <w:rPr>
          <w:rFonts w:ascii="Trebuchet MS" w:hAnsi="Trebuchet MS" w:cs="Times New Roman"/>
          <w:lang w:eastAsia="zh-CN"/>
        </w:rPr>
        <w:t>alţii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decât </w:t>
      </w:r>
      <w:proofErr w:type="spellStart"/>
      <w:r w:rsidRPr="00340180">
        <w:rPr>
          <w:rFonts w:ascii="Trebuchet MS" w:hAnsi="Trebuchet MS" w:cs="Times New Roman"/>
          <w:lang w:eastAsia="zh-CN"/>
        </w:rPr>
        <w:t>piloţii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de mare largă, aprobat prin Ordinul ministrului transporturilor nr. 335/2018,</w:t>
      </w:r>
    </w:p>
    <w:p w:rsidR="00CA05FB" w:rsidRPr="00340180" w:rsidRDefault="00CA05FB" w:rsidP="00D07303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rebuchet MS" w:hAnsi="Trebuchet MS" w:cs="Times New Roman"/>
          <w:lang w:eastAsia="zh-CN"/>
        </w:rPr>
      </w:pPr>
      <w:r w:rsidRPr="00340180">
        <w:rPr>
          <w:rFonts w:ascii="Trebuchet MS" w:hAnsi="Trebuchet MS" w:cs="Times New Roman"/>
          <w:lang w:eastAsia="zh-CN"/>
        </w:rPr>
        <w:t xml:space="preserve">în temeiul prevederilor art. 117 alin. (2) din </w:t>
      </w:r>
      <w:proofErr w:type="spellStart"/>
      <w:r w:rsidRPr="00340180">
        <w:rPr>
          <w:rFonts w:ascii="Trebuchet MS" w:hAnsi="Trebuchet MS" w:cs="Times New Roman"/>
          <w:lang w:eastAsia="zh-CN"/>
        </w:rPr>
        <w:t>Ordonanţa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Guvernului nr. 42/1997 privind transportul maritim </w:t>
      </w:r>
      <w:proofErr w:type="spellStart"/>
      <w:r w:rsidRPr="00340180">
        <w:rPr>
          <w:rFonts w:ascii="Trebuchet MS" w:hAnsi="Trebuchet MS" w:cs="Times New Roman"/>
          <w:lang w:eastAsia="zh-CN"/>
        </w:rPr>
        <w:t>şi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pe căile navigabile interioare, republicată, cu modificările </w:t>
      </w:r>
      <w:proofErr w:type="spellStart"/>
      <w:r w:rsidRPr="00340180">
        <w:rPr>
          <w:rFonts w:ascii="Trebuchet MS" w:hAnsi="Trebuchet MS" w:cs="Times New Roman"/>
          <w:lang w:eastAsia="zh-CN"/>
        </w:rPr>
        <w:t>şi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completările ulterioare, ale art. 12 lit. f) din </w:t>
      </w:r>
      <w:proofErr w:type="spellStart"/>
      <w:r w:rsidRPr="00340180">
        <w:rPr>
          <w:rFonts w:ascii="Trebuchet MS" w:hAnsi="Trebuchet MS" w:cs="Times New Roman"/>
          <w:lang w:eastAsia="zh-CN"/>
        </w:rPr>
        <w:t>Ordonanţa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Guvernului nr. 19/1997 privind transporturile, republicată, cu modificările </w:t>
      </w:r>
      <w:proofErr w:type="spellStart"/>
      <w:r w:rsidRPr="00340180">
        <w:rPr>
          <w:rFonts w:ascii="Trebuchet MS" w:hAnsi="Trebuchet MS" w:cs="Times New Roman"/>
          <w:lang w:eastAsia="zh-CN"/>
        </w:rPr>
        <w:t>şi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completările ulterioare, </w:t>
      </w:r>
      <w:proofErr w:type="spellStart"/>
      <w:r w:rsidRPr="00340180">
        <w:rPr>
          <w:rFonts w:ascii="Trebuchet MS" w:hAnsi="Trebuchet MS" w:cs="Times New Roman"/>
          <w:lang w:eastAsia="zh-CN"/>
        </w:rPr>
        <w:t>şi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ale art. 5 alin. (4) din Hotărârea Guvernului nr. 21/2015 privind organizarea </w:t>
      </w:r>
      <w:proofErr w:type="spellStart"/>
      <w:r w:rsidRPr="00340180">
        <w:rPr>
          <w:rFonts w:ascii="Trebuchet MS" w:hAnsi="Trebuchet MS" w:cs="Times New Roman"/>
          <w:lang w:eastAsia="zh-CN"/>
        </w:rPr>
        <w:t>şi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</w:t>
      </w:r>
      <w:proofErr w:type="spellStart"/>
      <w:r w:rsidRPr="00340180">
        <w:rPr>
          <w:rFonts w:ascii="Trebuchet MS" w:hAnsi="Trebuchet MS" w:cs="Times New Roman"/>
          <w:lang w:eastAsia="zh-CN"/>
        </w:rPr>
        <w:t>funcţionarea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Ministerului Transporturilor, cu modificările </w:t>
      </w:r>
      <w:proofErr w:type="spellStart"/>
      <w:r w:rsidRPr="00340180">
        <w:rPr>
          <w:rFonts w:ascii="Trebuchet MS" w:hAnsi="Trebuchet MS" w:cs="Times New Roman"/>
          <w:lang w:eastAsia="zh-CN"/>
        </w:rPr>
        <w:t>şi</w:t>
      </w:r>
      <w:proofErr w:type="spellEnd"/>
      <w:r w:rsidRPr="00340180">
        <w:rPr>
          <w:rFonts w:ascii="Trebuchet MS" w:hAnsi="Trebuchet MS" w:cs="Times New Roman"/>
          <w:lang w:eastAsia="zh-CN"/>
        </w:rPr>
        <w:t xml:space="preserve"> completările ulterioare,</w:t>
      </w:r>
    </w:p>
    <w:p w:rsidR="00CA05FB" w:rsidRPr="00340180" w:rsidRDefault="00CA05FB" w:rsidP="00D07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Theme="minorEastAsia" w:hAnsi="Trebuchet MS" w:cs="Times New Roman"/>
          <w:lang w:eastAsia="zh-CN"/>
        </w:rPr>
      </w:pPr>
    </w:p>
    <w:p w:rsidR="00371FE1" w:rsidRPr="00340180" w:rsidRDefault="00CA05FB" w:rsidP="00D07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Theme="minorEastAsia" w:hAnsi="Trebuchet MS" w:cs="Times New Roman"/>
          <w:lang w:eastAsia="zh-CN"/>
        </w:rPr>
      </w:pPr>
      <w:r w:rsidRPr="00340180">
        <w:rPr>
          <w:rFonts w:ascii="Trebuchet MS" w:eastAsiaTheme="minorEastAsia" w:hAnsi="Trebuchet MS" w:cs="Times New Roman"/>
          <w:lang w:eastAsia="zh-CN"/>
        </w:rPr>
        <w:t>e</w:t>
      </w:r>
      <w:r w:rsidR="00371FE1" w:rsidRPr="00340180">
        <w:rPr>
          <w:rFonts w:ascii="Trebuchet MS" w:eastAsiaTheme="minorEastAsia" w:hAnsi="Trebuchet MS" w:cs="Times New Roman"/>
          <w:lang w:eastAsia="zh-CN"/>
        </w:rPr>
        <w:t xml:space="preserve">mite </w:t>
      </w:r>
      <w:r w:rsidR="00931625" w:rsidRPr="00340180">
        <w:rPr>
          <w:rFonts w:ascii="Trebuchet MS" w:eastAsiaTheme="minorEastAsia" w:hAnsi="Trebuchet MS" w:cs="Times New Roman"/>
          <w:lang w:eastAsia="zh-CN"/>
        </w:rPr>
        <w:t>prezentul</w:t>
      </w:r>
      <w:r w:rsidR="00371FE1" w:rsidRPr="00340180">
        <w:rPr>
          <w:rFonts w:ascii="Trebuchet MS" w:eastAsiaTheme="minorEastAsia" w:hAnsi="Trebuchet MS" w:cs="Times New Roman"/>
          <w:lang w:eastAsia="zh-CN"/>
        </w:rPr>
        <w:t xml:space="preserve"> </w:t>
      </w:r>
    </w:p>
    <w:p w:rsidR="004D4CB2" w:rsidRPr="00340180" w:rsidRDefault="004D4CB2" w:rsidP="00D07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eastAsiaTheme="minorEastAsia" w:hAnsi="Trebuchet MS" w:cs="Times New Roman"/>
          <w:lang w:eastAsia="zh-CN"/>
        </w:rPr>
      </w:pPr>
    </w:p>
    <w:p w:rsidR="00371FE1" w:rsidRPr="00340180" w:rsidRDefault="00371FE1" w:rsidP="00D07303">
      <w:pPr>
        <w:spacing w:after="0" w:line="240" w:lineRule="auto"/>
        <w:jc w:val="center"/>
        <w:rPr>
          <w:rFonts w:ascii="Trebuchet MS" w:eastAsiaTheme="minorEastAsia" w:hAnsi="Trebuchet MS" w:cs="Times New Roman"/>
          <w:b/>
          <w:lang w:eastAsia="zh-CN"/>
        </w:rPr>
      </w:pPr>
      <w:r w:rsidRPr="00340180">
        <w:rPr>
          <w:rFonts w:ascii="Trebuchet MS" w:eastAsiaTheme="minorEastAsia" w:hAnsi="Trebuchet MS" w:cs="Times New Roman"/>
          <w:b/>
          <w:lang w:eastAsia="zh-CN"/>
        </w:rPr>
        <w:t>ORDIN:</w:t>
      </w:r>
    </w:p>
    <w:p w:rsidR="004F7CA6" w:rsidRPr="00340180" w:rsidRDefault="00CA05FB" w:rsidP="004D4CB2">
      <w:pPr>
        <w:spacing w:before="240" w:after="0" w:line="240" w:lineRule="auto"/>
        <w:ind w:firstLine="708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b/>
          <w:bCs/>
          <w:lang w:eastAsia="ro-RO"/>
        </w:rPr>
        <w:t>Art. I. -</w:t>
      </w:r>
      <w:r w:rsidRPr="00340180">
        <w:rPr>
          <w:rFonts w:ascii="Trebuchet MS" w:eastAsia="Times New Roman" w:hAnsi="Trebuchet MS" w:cs="Times New Roman"/>
          <w:bCs/>
          <w:lang w:eastAsia="ro-RO"/>
        </w:rPr>
        <w:t xml:space="preserve"> Regulamentul privind criteriile minime de pregătire, </w:t>
      </w:r>
      <w:proofErr w:type="spellStart"/>
      <w:r w:rsidRPr="00340180">
        <w:rPr>
          <w:rFonts w:ascii="Trebuchet MS" w:eastAsia="Times New Roman" w:hAnsi="Trebuchet MS" w:cs="Times New Roman"/>
          <w:bCs/>
          <w:lang w:eastAsia="ro-RO"/>
        </w:rPr>
        <w:t>perfecţionare</w:t>
      </w:r>
      <w:proofErr w:type="spellEnd"/>
      <w:r w:rsidRPr="00340180">
        <w:rPr>
          <w:rFonts w:ascii="Trebuchet MS" w:eastAsia="Times New Roman" w:hAnsi="Trebuchet MS" w:cs="Times New Roman"/>
          <w:bCs/>
          <w:lang w:eastAsia="ro-RO"/>
        </w:rPr>
        <w:t xml:space="preserve"> </w:t>
      </w:r>
      <w:proofErr w:type="spellStart"/>
      <w:r w:rsidRPr="00340180">
        <w:rPr>
          <w:rFonts w:ascii="Trebuchet MS" w:eastAsia="Times New Roman" w:hAnsi="Trebuchet MS" w:cs="Times New Roman"/>
          <w:bCs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bCs/>
          <w:lang w:eastAsia="ro-RO"/>
        </w:rPr>
        <w:t xml:space="preserve"> </w:t>
      </w:r>
      <w:r w:rsidR="00E94EBD">
        <w:rPr>
          <w:rFonts w:ascii="Trebuchet MS" w:eastAsia="Times New Roman" w:hAnsi="Trebuchet MS" w:cs="Times New Roman"/>
          <w:bCs/>
          <w:lang w:eastAsia="ro-RO"/>
        </w:rPr>
        <w:t>brevetare</w:t>
      </w:r>
      <w:bookmarkStart w:id="0" w:name="_GoBack"/>
      <w:bookmarkEnd w:id="0"/>
      <w:r w:rsidRPr="00340180">
        <w:rPr>
          <w:rFonts w:ascii="Trebuchet MS" w:eastAsia="Times New Roman" w:hAnsi="Trebuchet MS" w:cs="Times New Roman"/>
          <w:bCs/>
          <w:lang w:eastAsia="ro-RO"/>
        </w:rPr>
        <w:t xml:space="preserve"> a </w:t>
      </w:r>
      <w:proofErr w:type="spellStart"/>
      <w:r w:rsidRPr="00340180">
        <w:rPr>
          <w:rFonts w:ascii="Trebuchet MS" w:eastAsia="Times New Roman" w:hAnsi="Trebuchet MS" w:cs="Times New Roman"/>
          <w:bCs/>
          <w:lang w:eastAsia="ro-RO"/>
        </w:rPr>
        <w:t>piloţilor</w:t>
      </w:r>
      <w:proofErr w:type="spellEnd"/>
      <w:r w:rsidRPr="00340180">
        <w:rPr>
          <w:rFonts w:ascii="Trebuchet MS" w:eastAsia="Times New Roman" w:hAnsi="Trebuchet MS" w:cs="Times New Roman"/>
          <w:bCs/>
          <w:lang w:eastAsia="ro-RO"/>
        </w:rPr>
        <w:t xml:space="preserve"> maritimi, </w:t>
      </w:r>
      <w:proofErr w:type="spellStart"/>
      <w:r w:rsidRPr="00340180">
        <w:rPr>
          <w:rFonts w:ascii="Trebuchet MS" w:eastAsia="Times New Roman" w:hAnsi="Trebuchet MS" w:cs="Times New Roman"/>
          <w:bCs/>
          <w:lang w:eastAsia="ro-RO"/>
        </w:rPr>
        <w:t>alţii</w:t>
      </w:r>
      <w:proofErr w:type="spellEnd"/>
      <w:r w:rsidRPr="00340180">
        <w:rPr>
          <w:rFonts w:ascii="Trebuchet MS" w:eastAsia="Times New Roman" w:hAnsi="Trebuchet MS" w:cs="Times New Roman"/>
          <w:bCs/>
          <w:lang w:eastAsia="ro-RO"/>
        </w:rPr>
        <w:t xml:space="preserve"> decât </w:t>
      </w:r>
      <w:proofErr w:type="spellStart"/>
      <w:r w:rsidRPr="00340180">
        <w:rPr>
          <w:rFonts w:ascii="Trebuchet MS" w:eastAsia="Times New Roman" w:hAnsi="Trebuchet MS" w:cs="Times New Roman"/>
          <w:bCs/>
          <w:lang w:eastAsia="ro-RO"/>
        </w:rPr>
        <w:t>piloţii</w:t>
      </w:r>
      <w:proofErr w:type="spellEnd"/>
      <w:r w:rsidRPr="00340180">
        <w:rPr>
          <w:rFonts w:ascii="Trebuchet MS" w:eastAsia="Times New Roman" w:hAnsi="Trebuchet MS" w:cs="Times New Roman"/>
          <w:bCs/>
          <w:lang w:eastAsia="ro-RO"/>
        </w:rPr>
        <w:t xml:space="preserve"> de mare largă, aprobat prin Ordinul ministrului transporturilor nr. 335 din 19 martie 2018, publicat în Monitorul Oficial al României, Partea I, nr. 293 din 2 aprilie 2018, se modifică după cum urmează: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1.</w:t>
      </w:r>
      <w:r w:rsidR="004D4CB2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r w:rsidRPr="00340180">
        <w:rPr>
          <w:rFonts w:ascii="Trebuchet MS" w:eastAsia="Times New Roman" w:hAnsi="Trebuchet MS" w:cs="Times New Roman"/>
          <w:lang w:eastAsia="ro-RO"/>
        </w:rPr>
        <w:t xml:space="preserve">La CAPITOLUL IV ’’Starea de sănătate”, articolul 4, alineatul (4) se modifică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va avea următorul cuprins: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 xml:space="preserve">“(4) Pe perioada prevăzută la alin. (3), brevetul acestuia este suspendat, iar măsura suspendării poate înceta numai dacă în urma reevaluării stării de sănătate acesta este declarat apt de a mai exercita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funcţia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de pilot maritim. Aducerea la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cunoştinţă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incapacităţii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pilotului maritim de a mai exercita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funcţia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depunerea brevetului de pilot al persoanei în cauză la ANR revin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administraţiei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>”.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2.</w:t>
      </w:r>
      <w:r w:rsidR="004D4CB2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r w:rsidRPr="00340180">
        <w:rPr>
          <w:rFonts w:ascii="Trebuchet MS" w:eastAsia="Times New Roman" w:hAnsi="Trebuchet MS" w:cs="Times New Roman"/>
          <w:lang w:eastAsia="ro-RO"/>
        </w:rPr>
        <w:t>La CAPITOLUL VI ’’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Competenţă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continuă”, articolul 6, alineatul (1), literele b) - d) se modifică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vor avea următorul cuprins: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 xml:space="preserve">“b) pentru zona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Constanţa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, Mangalia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Midia, să dovedească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menţinerea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competenţei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profesionale cu o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adeverinţă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eliberată de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administraţie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, prin care se atestă efectuarea a 200 de manevre în ultimii 5 ani. Această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adeverinţă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se va elibera la solicitarea pilotului;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c)</w:t>
      </w:r>
      <w:r w:rsidR="004D4CB2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r w:rsidRPr="00340180">
        <w:rPr>
          <w:rFonts w:ascii="Trebuchet MS" w:eastAsia="Times New Roman" w:hAnsi="Trebuchet MS" w:cs="Times New Roman"/>
          <w:lang w:eastAsia="ro-RO"/>
        </w:rPr>
        <w:t xml:space="preserve">pentru zona de pilotaj a sectorului de Dunăre cuprins între rada portului Sulina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km 175, să dovedească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menţinerea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competenţei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profesionale cu o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adeverinţă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eliberată de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administraţie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, din care să reiasă efectuarea a cel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puţin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3 voiaje/manevre semestrial;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d)</w:t>
      </w:r>
      <w:r w:rsidR="004D4CB2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r w:rsidRPr="00340180">
        <w:rPr>
          <w:rFonts w:ascii="Trebuchet MS" w:eastAsia="Times New Roman" w:hAnsi="Trebuchet MS" w:cs="Times New Roman"/>
          <w:lang w:eastAsia="ro-RO"/>
        </w:rPr>
        <w:t xml:space="preserve">pentru zona de pilotaj Canalul Dunăre - Marea Neagră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Canalul Poarta Albă - Midia-Năvodari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în porturile situate pe acest sector, să dovedească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menţinerea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competenţei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profesionale cu o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adeverinţă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eliberată de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administraţie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, din care să reiasă efectuarea a cel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puţin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1 voiaj/manevră semestrial.”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lastRenderedPageBreak/>
        <w:t>3.</w:t>
      </w:r>
      <w:r w:rsidR="004D4CB2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r w:rsidRPr="00340180">
        <w:rPr>
          <w:rFonts w:ascii="Trebuchet MS" w:eastAsia="Times New Roman" w:hAnsi="Trebuchet MS" w:cs="Times New Roman"/>
          <w:lang w:eastAsia="ro-RO"/>
        </w:rPr>
        <w:t>La CAPITOLUL VI ’’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Competenţă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continuă”, articolul 6, alineatul (2) se modifică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va avea următorul cuprins:</w:t>
      </w:r>
    </w:p>
    <w:p w:rsidR="00CA05FB" w:rsidRPr="00340180" w:rsidRDefault="004D4CB2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“</w:t>
      </w:r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(2) Atunci când un pilot maritim, cu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excepţia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pilotului maritim pentru Canalul Dunăre - Marea Neagră, Canalul Poarta Albă - Midia-Năvodari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în porturile situate pe acest sector, are o întrerupere de activitate mai mare de 6 luni,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administraţia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va lua toate măs</w:t>
      </w:r>
      <w:r w:rsidR="004117C1" w:rsidRPr="00340180">
        <w:rPr>
          <w:rFonts w:ascii="Trebuchet MS" w:eastAsia="Times New Roman" w:hAnsi="Trebuchet MS" w:cs="Times New Roman"/>
          <w:lang w:eastAsia="ro-RO"/>
        </w:rPr>
        <w:t>urile necesare pentru refamiliariza</w:t>
      </w:r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rea pilotului cu zonele de pilotaj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se va asigura că acesta efectuează, înainte de începerea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activităţii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>, un număr de 10 manevre pe nave maritime, asistat de un pilot maritim de</w:t>
      </w:r>
      <w:r w:rsidR="004117C1" w:rsidRPr="00340180">
        <w:rPr>
          <w:rFonts w:ascii="Trebuchet MS" w:eastAsia="Times New Roman" w:hAnsi="Trebuchet MS" w:cs="Times New Roman"/>
          <w:lang w:eastAsia="ro-RO"/>
        </w:rPr>
        <w:t xml:space="preserve"> cel </w:t>
      </w:r>
      <w:proofErr w:type="spellStart"/>
      <w:r w:rsidR="004117C1" w:rsidRPr="00340180">
        <w:rPr>
          <w:rFonts w:ascii="Trebuchet MS" w:eastAsia="Times New Roman" w:hAnsi="Trebuchet MS" w:cs="Times New Roman"/>
          <w:lang w:eastAsia="ro-RO"/>
        </w:rPr>
        <w:t>puţin</w:t>
      </w:r>
      <w:proofErr w:type="spellEnd"/>
      <w:r w:rsidR="004117C1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4117C1" w:rsidRPr="00340180">
        <w:rPr>
          <w:rFonts w:ascii="Trebuchet MS" w:eastAsia="Times New Roman" w:hAnsi="Trebuchet MS" w:cs="Times New Roman"/>
          <w:lang w:eastAsia="ro-RO"/>
        </w:rPr>
        <w:t>acelaşi</w:t>
      </w:r>
      <w:proofErr w:type="spellEnd"/>
      <w:r w:rsidR="004117C1" w:rsidRPr="00340180">
        <w:rPr>
          <w:rFonts w:ascii="Trebuchet MS" w:eastAsia="Times New Roman" w:hAnsi="Trebuchet MS" w:cs="Times New Roman"/>
          <w:lang w:eastAsia="ro-RO"/>
        </w:rPr>
        <w:t xml:space="preserve"> nivel”.</w:t>
      </w:r>
      <w:r w:rsidR="004117C1" w:rsidRPr="00340180">
        <w:rPr>
          <w:rFonts w:ascii="Trebuchet MS" w:eastAsia="Times New Roman" w:hAnsi="Trebuchet MS" w:cs="Times New Roman"/>
          <w:lang w:eastAsia="ro-RO"/>
        </w:rPr>
        <w:tab/>
      </w:r>
    </w:p>
    <w:p w:rsidR="004117C1" w:rsidRPr="00340180" w:rsidRDefault="004117C1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4. La CAPITOLUL VI ’’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Competenţă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continuă”, articolul 6, alineatul (3), </w:t>
      </w:r>
      <w:r w:rsidR="00340180">
        <w:rPr>
          <w:rFonts w:ascii="Trebuchet MS" w:eastAsia="Times New Roman" w:hAnsi="Trebuchet MS" w:cs="Times New Roman"/>
          <w:lang w:eastAsia="ro-RO"/>
        </w:rPr>
        <w:t>a doua liniuță</w:t>
      </w:r>
      <w:r w:rsidRPr="00340180">
        <w:rPr>
          <w:rFonts w:ascii="Trebuchet MS" w:eastAsia="Times New Roman" w:hAnsi="Trebuchet MS" w:cs="Times New Roman"/>
          <w:lang w:eastAsia="ro-RO"/>
        </w:rPr>
        <w:t xml:space="preserve"> se modifică și va avea urm</w:t>
      </w:r>
      <w:r w:rsidR="00340180">
        <w:rPr>
          <w:rFonts w:ascii="Trebuchet MS" w:eastAsia="Times New Roman" w:hAnsi="Trebuchet MS" w:cs="Times New Roman"/>
          <w:lang w:eastAsia="ro-RO"/>
        </w:rPr>
        <w:t>ă</w:t>
      </w:r>
      <w:r w:rsidRPr="00340180">
        <w:rPr>
          <w:rFonts w:ascii="Trebuchet MS" w:eastAsia="Times New Roman" w:hAnsi="Trebuchet MS" w:cs="Times New Roman"/>
          <w:lang w:eastAsia="ro-RO"/>
        </w:rPr>
        <w:t>torul cuprins:</w:t>
      </w:r>
    </w:p>
    <w:p w:rsidR="00CA05FB" w:rsidRPr="00340180" w:rsidRDefault="004117C1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 xml:space="preserve">”- </w:t>
      </w:r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să prezinte o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adeverinţă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eliberată de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administraţie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, prin care se atestă că este luat în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evidenţă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ca angajat în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funcţia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de pilot maritim, în curs de reconfirmare, pentru zona de pilotaj corespunzătoare, cu contract de muncă pe perioadă nedeterminată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normă întreagă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a efectuat, asistat de un pilot maritim de cel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puţin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acelaşi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nivel”: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5.</w:t>
      </w:r>
      <w:r w:rsidR="004D4CB2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r w:rsidRPr="00340180">
        <w:rPr>
          <w:rFonts w:ascii="Trebuchet MS" w:eastAsia="Times New Roman" w:hAnsi="Trebuchet MS" w:cs="Times New Roman"/>
          <w:lang w:eastAsia="ro-RO"/>
        </w:rPr>
        <w:t>La CAPITOLUL VI ’’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Competenţă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continuă”, articolul 6, alineatul (3), litera c) se modifică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va avea următorul cuprins: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 xml:space="preserve">“c) pentru zona Canalul Dunăre - Marea Neagră, Canalul Poarta Albă - Midia-Năvodari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în porturile situate pe acest sector - cel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puţin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1 voiaj/manevră ca pilot asistent pe nave maritime”.</w:t>
      </w:r>
    </w:p>
    <w:p w:rsidR="004117C1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6.</w:t>
      </w:r>
      <w:r w:rsidR="004D4CB2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r w:rsidRPr="00340180">
        <w:rPr>
          <w:rFonts w:ascii="Trebuchet MS" w:eastAsia="Times New Roman" w:hAnsi="Trebuchet MS" w:cs="Times New Roman"/>
          <w:lang w:eastAsia="ro-RO"/>
        </w:rPr>
        <w:t>La CAPITOLUL VII ’’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Sancţiuni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. Suspendarea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anularea”, articolul 7, alineatul (2) se modifică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va avea următorul cuprins: 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 xml:space="preserve">“(2) Brevetul de pilot maritim poate fi suspendat atunci când un pilot maritim are o întrerupere în activitate mai mare de 6 luni, întrerupere confirmată de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administraţie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sau pentru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săvârşirea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unei fapte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contravenţionale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ori penale la regimul transporturilor navale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al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activităţilor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desfăşurate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în porturi”.</w:t>
      </w:r>
    </w:p>
    <w:p w:rsidR="004117C1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7.</w:t>
      </w:r>
      <w:r w:rsidR="004D4CB2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r w:rsidRPr="00340180">
        <w:rPr>
          <w:rFonts w:ascii="Trebuchet MS" w:eastAsia="Times New Roman" w:hAnsi="Trebuchet MS" w:cs="Times New Roman"/>
          <w:lang w:eastAsia="ro-RO"/>
        </w:rPr>
        <w:t>La ANEXA nr. 1 ’’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Cerinţe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minime obligatorii pentru brevetarea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piloţilor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maritime”, CAPITOLUL I </w:t>
      </w:r>
      <w:r w:rsidRPr="00340180">
        <w:rPr>
          <w:rFonts w:ascii="Trebuchet MS" w:eastAsia="Times New Roman" w:hAnsi="Trebuchet MS" w:cs="Times New Roman"/>
          <w:i/>
          <w:lang w:eastAsia="ro-RO"/>
        </w:rPr>
        <w:t xml:space="preserve">"Porturile maritime </w:t>
      </w:r>
      <w:proofErr w:type="spellStart"/>
      <w:r w:rsidRPr="00340180">
        <w:rPr>
          <w:rFonts w:ascii="Trebuchet MS" w:eastAsia="Times New Roman" w:hAnsi="Trebuchet MS" w:cs="Times New Roman"/>
          <w:i/>
          <w:lang w:eastAsia="ro-RO"/>
        </w:rPr>
        <w:t>Constanţa</w:t>
      </w:r>
      <w:proofErr w:type="spellEnd"/>
      <w:r w:rsidRPr="00340180">
        <w:rPr>
          <w:rFonts w:ascii="Trebuchet MS" w:eastAsia="Times New Roman" w:hAnsi="Trebuchet MS" w:cs="Times New Roman"/>
          <w:i/>
          <w:lang w:eastAsia="ro-RO"/>
        </w:rPr>
        <w:t xml:space="preserve">, Mangalia </w:t>
      </w:r>
      <w:proofErr w:type="spellStart"/>
      <w:r w:rsidRPr="00340180">
        <w:rPr>
          <w:rFonts w:ascii="Trebuchet MS" w:eastAsia="Times New Roman" w:hAnsi="Trebuchet MS" w:cs="Times New Roman"/>
          <w:i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i/>
          <w:lang w:eastAsia="ro-RO"/>
        </w:rPr>
        <w:t xml:space="preserve"> Midia”</w:t>
      </w:r>
      <w:r w:rsidRPr="00340180">
        <w:rPr>
          <w:rFonts w:ascii="Trebuchet MS" w:eastAsia="Times New Roman" w:hAnsi="Trebuchet MS" w:cs="Times New Roman"/>
          <w:lang w:eastAsia="ro-RO"/>
        </w:rPr>
        <w:t xml:space="preserve">, articolul 2, litera b) se modifică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va avea următorul cuprins: 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 xml:space="preserve">“b) prezintă o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adeverinţă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eliberată de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administraţie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din care să reiasă că este luat în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evidenţă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ca angajat în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funcţia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de pilot maritim aspirant pentru porturile maritime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Constanţa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, Mangalia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Midia cu contract de muncă pe perioadă nedeterminată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normă întreagă”;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8.</w:t>
      </w:r>
      <w:r w:rsidR="004D4CB2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r w:rsidRPr="00340180">
        <w:rPr>
          <w:rFonts w:ascii="Trebuchet MS" w:eastAsia="Times New Roman" w:hAnsi="Trebuchet MS" w:cs="Times New Roman"/>
          <w:lang w:eastAsia="ro-RO"/>
        </w:rPr>
        <w:t>La ANEXA nr. 1 ’’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Cerinţe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minime obligatorii pentru brevetarea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piloţilor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maritime”, CAPITOLUL I "Porturile maritime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Constanţa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, Mangalia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Midia”, articolul 3, litera b) se modifică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va avea următorul cuprins: “b) prezintă o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adeverinţă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eliberată de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administraţie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din care să reiasă că este luat în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evidenţă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ca angajat în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funcţia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de pilot maritim II pentru porturile maritime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Constanţa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, Mangalia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Midia cu contract de muncă pe perioada nedeterminată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normă întreagă”;</w:t>
      </w:r>
    </w:p>
    <w:p w:rsidR="00CA05FB" w:rsidRPr="00340180" w:rsidRDefault="00CA05FB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9.</w:t>
      </w:r>
      <w:r w:rsidR="004D4CB2" w:rsidRPr="00340180">
        <w:rPr>
          <w:rFonts w:ascii="Trebuchet MS" w:eastAsia="Times New Roman" w:hAnsi="Trebuchet MS" w:cs="Times New Roman"/>
          <w:lang w:eastAsia="ro-RO"/>
        </w:rPr>
        <w:t xml:space="preserve"> </w:t>
      </w:r>
      <w:r w:rsidRPr="00340180">
        <w:rPr>
          <w:rFonts w:ascii="Trebuchet MS" w:eastAsia="Times New Roman" w:hAnsi="Trebuchet MS" w:cs="Times New Roman"/>
          <w:lang w:eastAsia="ro-RO"/>
        </w:rPr>
        <w:t>La ANEXA nr. 1 ’’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Cerinţe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minime obligatorii pentru brevetarea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piloţilor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maritime”, CAPITOLUL II </w:t>
      </w:r>
      <w:r w:rsidRPr="00340180">
        <w:rPr>
          <w:rFonts w:ascii="Trebuchet MS" w:eastAsia="Times New Roman" w:hAnsi="Trebuchet MS" w:cs="Times New Roman"/>
          <w:i/>
          <w:lang w:eastAsia="ro-RO"/>
        </w:rPr>
        <w:t>"</w:t>
      </w:r>
      <w:proofErr w:type="spellStart"/>
      <w:r w:rsidRPr="00340180">
        <w:rPr>
          <w:rFonts w:ascii="Trebuchet MS" w:eastAsia="Times New Roman" w:hAnsi="Trebuchet MS" w:cs="Times New Roman"/>
          <w:i/>
          <w:lang w:eastAsia="ro-RO"/>
        </w:rPr>
        <w:t>Cerinţe</w:t>
      </w:r>
      <w:proofErr w:type="spellEnd"/>
      <w:r w:rsidRPr="00340180">
        <w:rPr>
          <w:rFonts w:ascii="Trebuchet MS" w:eastAsia="Times New Roman" w:hAnsi="Trebuchet MS" w:cs="Times New Roman"/>
          <w:i/>
          <w:lang w:eastAsia="ro-RO"/>
        </w:rPr>
        <w:t xml:space="preserve"> obligatorii pentru brevetarea </w:t>
      </w:r>
      <w:proofErr w:type="spellStart"/>
      <w:r w:rsidRPr="00340180">
        <w:rPr>
          <w:rFonts w:ascii="Trebuchet MS" w:eastAsia="Times New Roman" w:hAnsi="Trebuchet MS" w:cs="Times New Roman"/>
          <w:i/>
          <w:lang w:eastAsia="ro-RO"/>
        </w:rPr>
        <w:t>piloţilor</w:t>
      </w:r>
      <w:proofErr w:type="spellEnd"/>
      <w:r w:rsidRPr="00340180">
        <w:rPr>
          <w:rFonts w:ascii="Trebuchet MS" w:eastAsia="Times New Roman" w:hAnsi="Trebuchet MS" w:cs="Times New Roman"/>
          <w:i/>
          <w:lang w:eastAsia="ro-RO"/>
        </w:rPr>
        <w:t xml:space="preserve"> maritimi pentru sectorul de Dunăre cuprins între rada portului Sulina </w:t>
      </w:r>
      <w:proofErr w:type="spellStart"/>
      <w:r w:rsidRPr="00340180">
        <w:rPr>
          <w:rFonts w:ascii="Trebuchet MS" w:eastAsia="Times New Roman" w:hAnsi="Trebuchet MS" w:cs="Times New Roman"/>
          <w:i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i/>
          <w:lang w:eastAsia="ro-RO"/>
        </w:rPr>
        <w:t xml:space="preserve"> km 175, precum </w:t>
      </w:r>
      <w:proofErr w:type="spellStart"/>
      <w:r w:rsidRPr="00340180">
        <w:rPr>
          <w:rFonts w:ascii="Trebuchet MS" w:eastAsia="Times New Roman" w:hAnsi="Trebuchet MS" w:cs="Times New Roman"/>
          <w:i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i/>
          <w:lang w:eastAsia="ro-RO"/>
        </w:rPr>
        <w:t xml:space="preserve"> în porturile situate pe acest sector"</w:t>
      </w:r>
      <w:r w:rsidRPr="00340180">
        <w:rPr>
          <w:rFonts w:ascii="Trebuchet MS" w:eastAsia="Times New Roman" w:hAnsi="Trebuchet MS" w:cs="Times New Roman"/>
          <w:lang w:eastAsia="ro-RO"/>
        </w:rPr>
        <w:t xml:space="preserve">, articolul 5, litera b) se modifică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va avea următorul cuprins:</w:t>
      </w:r>
    </w:p>
    <w:p w:rsidR="00BC142D" w:rsidRPr="00340180" w:rsidRDefault="004D4CB2" w:rsidP="004D4CB2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>“</w:t>
      </w:r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b) prezintă o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adeverinţă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eliberată de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administraţie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din care să reiasă că este angajat de cel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puţin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6 luni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a efectuat un număr de 36 voiaje fără întrerupere mai mare de 30 de zile între ele, pentru a dobândi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cunoştinţe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temeinice de </w:t>
      </w:r>
      <w:proofErr w:type="spellStart"/>
      <w:r w:rsidR="00CA05FB" w:rsidRPr="00340180">
        <w:rPr>
          <w:rFonts w:ascii="Trebuchet MS" w:eastAsia="Times New Roman" w:hAnsi="Trebuchet MS" w:cs="Times New Roman"/>
          <w:lang w:eastAsia="ro-RO"/>
        </w:rPr>
        <w:t>navigaţie</w:t>
      </w:r>
      <w:proofErr w:type="spellEnd"/>
      <w:r w:rsidR="00CA05FB" w:rsidRPr="00340180">
        <w:rPr>
          <w:rFonts w:ascii="Trebuchet MS" w:eastAsia="Times New Roman" w:hAnsi="Trebuchet MS" w:cs="Times New Roman"/>
          <w:lang w:eastAsia="ro-RO"/>
        </w:rPr>
        <w:t xml:space="preserve"> despre zona de pilotaj pentru care a fost eliberat brevetul”.</w:t>
      </w:r>
    </w:p>
    <w:p w:rsidR="00340180" w:rsidRDefault="00340180" w:rsidP="004117C1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340180" w:rsidRDefault="00340180" w:rsidP="004117C1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</w:p>
    <w:p w:rsidR="004117C1" w:rsidRPr="00340180" w:rsidRDefault="004117C1" w:rsidP="004117C1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lastRenderedPageBreak/>
        <w:t>10. La ANEXA nr. 1 ’’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Cerinţe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minime obligatorii pentru brevetarea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piloţilor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maritime”, CAPITOLUL III </w:t>
      </w:r>
      <w:r w:rsidRPr="00340180">
        <w:rPr>
          <w:rFonts w:ascii="Trebuchet MS" w:eastAsia="Times New Roman" w:hAnsi="Trebuchet MS" w:cs="Times New Roman"/>
          <w:i/>
          <w:lang w:eastAsia="ro-RO"/>
        </w:rPr>
        <w:t xml:space="preserve">"Canalul Dunăre-Marea Neagră, Canalul Poarta Albă-Midia-Năvodari </w:t>
      </w:r>
      <w:proofErr w:type="spellStart"/>
      <w:r w:rsidRPr="00340180">
        <w:rPr>
          <w:rFonts w:ascii="Trebuchet MS" w:eastAsia="Times New Roman" w:hAnsi="Trebuchet MS" w:cs="Times New Roman"/>
          <w:i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i/>
          <w:lang w:eastAsia="ro-RO"/>
        </w:rPr>
        <w:t xml:space="preserve"> porturile situate pe acest sector”</w:t>
      </w:r>
      <w:r w:rsidRPr="00340180">
        <w:rPr>
          <w:rFonts w:ascii="Trebuchet MS" w:eastAsia="Times New Roman" w:hAnsi="Trebuchet MS" w:cs="Times New Roman"/>
          <w:lang w:eastAsia="ro-RO"/>
        </w:rPr>
        <w:t xml:space="preserve"> articolul 7, litera b) se modifică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va avea următorul cuprins:</w:t>
      </w:r>
    </w:p>
    <w:p w:rsidR="004117C1" w:rsidRPr="00340180" w:rsidRDefault="004117C1" w:rsidP="004117C1">
      <w:pPr>
        <w:spacing w:before="240"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lang w:eastAsia="ro-RO"/>
        </w:rPr>
        <w:t xml:space="preserve">“b) prezintă o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adeverinţă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eliberată de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administraţie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din care să reiasă că este angajat de cel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puţin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12 luni, a efectuat un număr de 5 voiaje/manevre pe Canalul Dunăre - Marea Neagră, Canalul Poarta Albă - Midia-Năvodari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şi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porturile situate pe acest sector pentru a dobândi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cunoştinţe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temeinice de </w:t>
      </w:r>
      <w:proofErr w:type="spellStart"/>
      <w:r w:rsidRPr="00340180">
        <w:rPr>
          <w:rFonts w:ascii="Trebuchet MS" w:eastAsia="Times New Roman" w:hAnsi="Trebuchet MS" w:cs="Times New Roman"/>
          <w:lang w:eastAsia="ro-RO"/>
        </w:rPr>
        <w:t>navigaţie</w:t>
      </w:r>
      <w:proofErr w:type="spellEnd"/>
      <w:r w:rsidRPr="00340180">
        <w:rPr>
          <w:rFonts w:ascii="Trebuchet MS" w:eastAsia="Times New Roman" w:hAnsi="Trebuchet MS" w:cs="Times New Roman"/>
          <w:lang w:eastAsia="ro-RO"/>
        </w:rPr>
        <w:t xml:space="preserve"> despre zona de pilotaj pentru care a fost eliberat brevetul”.</w:t>
      </w:r>
    </w:p>
    <w:p w:rsidR="00251744" w:rsidRPr="00340180" w:rsidRDefault="00251744" w:rsidP="00B627A4">
      <w:pPr>
        <w:spacing w:before="240"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  <w:r w:rsidRPr="00340180">
        <w:rPr>
          <w:rFonts w:ascii="Trebuchet MS" w:eastAsia="Times New Roman" w:hAnsi="Trebuchet MS" w:cs="Times New Roman"/>
          <w:b/>
          <w:lang w:eastAsia="ro-RO"/>
        </w:rPr>
        <w:t xml:space="preserve">Art. </w:t>
      </w:r>
      <w:r w:rsidR="001D5B24" w:rsidRPr="00340180">
        <w:rPr>
          <w:rFonts w:ascii="Trebuchet MS" w:eastAsia="Times New Roman" w:hAnsi="Trebuchet MS" w:cs="Times New Roman"/>
          <w:b/>
          <w:lang w:eastAsia="ro-RO"/>
        </w:rPr>
        <w:t>I</w:t>
      </w:r>
      <w:r w:rsidR="00BB648A" w:rsidRPr="00340180">
        <w:rPr>
          <w:rFonts w:ascii="Trebuchet MS" w:eastAsia="Times New Roman" w:hAnsi="Trebuchet MS" w:cs="Times New Roman"/>
          <w:b/>
          <w:lang w:eastAsia="ro-RO"/>
        </w:rPr>
        <w:t>I</w:t>
      </w:r>
      <w:r w:rsidR="00DD6002" w:rsidRPr="00340180">
        <w:rPr>
          <w:rFonts w:ascii="Trebuchet MS" w:eastAsia="Times New Roman" w:hAnsi="Trebuchet MS" w:cs="Times New Roman"/>
          <w:b/>
          <w:lang w:eastAsia="ro-RO"/>
        </w:rPr>
        <w:t>.</w:t>
      </w:r>
      <w:r w:rsidRPr="00340180">
        <w:rPr>
          <w:rFonts w:ascii="Trebuchet MS" w:eastAsia="Times New Roman" w:hAnsi="Trebuchet MS" w:cs="Times New Roman"/>
          <w:lang w:eastAsia="ro-RO"/>
        </w:rPr>
        <w:t xml:space="preserve"> – Prezentul ordin se publică în Monitoru</w:t>
      </w:r>
      <w:r w:rsidR="001F522E" w:rsidRPr="00340180">
        <w:rPr>
          <w:rFonts w:ascii="Trebuchet MS" w:eastAsia="Times New Roman" w:hAnsi="Trebuchet MS" w:cs="Times New Roman"/>
          <w:lang w:eastAsia="ro-RO"/>
        </w:rPr>
        <w:t>l Oficial al României, Partea I</w:t>
      </w:r>
      <w:r w:rsidRPr="00340180">
        <w:rPr>
          <w:rFonts w:ascii="Trebuchet MS" w:eastAsia="Times New Roman" w:hAnsi="Trebuchet MS" w:cs="Times New Roman"/>
          <w:lang w:eastAsia="ro-RO"/>
        </w:rPr>
        <w:t>.</w:t>
      </w:r>
    </w:p>
    <w:p w:rsidR="00251744" w:rsidRPr="00340180" w:rsidRDefault="00251744" w:rsidP="00D07303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:rsidR="008E40B4" w:rsidRPr="00340180" w:rsidRDefault="008E40B4" w:rsidP="00D07303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:rsidR="00677B6A" w:rsidRPr="00340180" w:rsidRDefault="00677B6A" w:rsidP="00D07303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lang w:eastAsia="ro-RO"/>
        </w:rPr>
      </w:pPr>
    </w:p>
    <w:p w:rsidR="00251744" w:rsidRPr="00340180" w:rsidRDefault="002517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340180">
        <w:rPr>
          <w:rFonts w:ascii="Trebuchet MS" w:eastAsia="Times New Roman" w:hAnsi="Trebuchet MS" w:cs="Times New Roman"/>
          <w:b/>
          <w:lang w:eastAsia="ro-RO"/>
        </w:rPr>
        <w:t>MINISTRU</w:t>
      </w:r>
      <w:r w:rsidR="00DD6002" w:rsidRPr="00340180">
        <w:rPr>
          <w:rFonts w:ascii="Trebuchet MS" w:eastAsia="Times New Roman" w:hAnsi="Trebuchet MS" w:cs="Times New Roman"/>
          <w:b/>
          <w:lang w:eastAsia="ro-RO"/>
        </w:rPr>
        <w:t>L TRANSPORTURILOR</w:t>
      </w:r>
    </w:p>
    <w:p w:rsidR="00251744" w:rsidRPr="00340180" w:rsidRDefault="002517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:rsidR="00A4663D" w:rsidRPr="00340180" w:rsidRDefault="003B13B0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  <w:r w:rsidRPr="00340180">
        <w:rPr>
          <w:rFonts w:ascii="Trebuchet MS" w:eastAsia="Times New Roman" w:hAnsi="Trebuchet MS" w:cs="Times New Roman"/>
          <w:b/>
          <w:lang w:eastAsia="ro-RO"/>
        </w:rPr>
        <w:t>Alexandru Răzvan CUC</w:t>
      </w:r>
    </w:p>
    <w:p w:rsidR="00A4663D" w:rsidRPr="00340180" w:rsidRDefault="00A4663D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A47029" w:rsidRPr="00340180" w:rsidRDefault="00A47029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p w:rsidR="00C000DF" w:rsidRPr="00340180" w:rsidRDefault="00C000DF" w:rsidP="00C73D44">
      <w:pPr>
        <w:spacing w:after="0" w:line="240" w:lineRule="auto"/>
        <w:rPr>
          <w:rFonts w:ascii="Trebuchet MS" w:eastAsia="Times New Roman" w:hAnsi="Trebuchet MS" w:cs="Times New Roman"/>
          <w:lang w:eastAsia="ro-RO"/>
        </w:rPr>
      </w:pPr>
    </w:p>
    <w:p w:rsidR="00C73D44" w:rsidRPr="00340180" w:rsidRDefault="00C73D44" w:rsidP="00C73D44">
      <w:pPr>
        <w:spacing w:after="0" w:line="240" w:lineRule="auto"/>
        <w:rPr>
          <w:rFonts w:ascii="Trebuchet MS" w:eastAsia="Times New Roman" w:hAnsi="Trebuchet MS" w:cs="Times New Roman"/>
          <w:lang w:eastAsia="ro-RO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DD6002" w:rsidRPr="00340180" w:rsidTr="008E24AD">
        <w:trPr>
          <w:trHeight w:val="1403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SECRETAR DE STAT</w:t>
            </w:r>
          </w:p>
          <w:p w:rsidR="00DD6002" w:rsidRPr="00340180" w:rsidRDefault="00C73D44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Ionel MINIEA</w:t>
            </w:r>
          </w:p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:rsidR="00DD6002" w:rsidRPr="00340180" w:rsidRDefault="00DD6002" w:rsidP="00C73D44">
            <w:pPr>
              <w:spacing w:after="0" w:line="360" w:lineRule="auto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DD6002" w:rsidRPr="00340180" w:rsidTr="008E24AD">
        <w:trPr>
          <w:trHeight w:val="836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SECRETAR GENERAL</w:t>
            </w:r>
          </w:p>
          <w:p w:rsidR="00DD6002" w:rsidRPr="00340180" w:rsidRDefault="00C73D44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Petre NEACȘA</w:t>
            </w:r>
          </w:p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</w:tc>
      </w:tr>
      <w:tr w:rsidR="00DD6002" w:rsidRPr="00340180" w:rsidTr="008E24AD">
        <w:trPr>
          <w:trHeight w:val="579"/>
        </w:trPr>
        <w:tc>
          <w:tcPr>
            <w:tcW w:w="3128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FUNC</w:t>
            </w:r>
            <w:r w:rsidR="005A49BB" w:rsidRPr="00340180">
              <w:rPr>
                <w:rFonts w:ascii="Trebuchet MS" w:eastAsia="Times New Roman" w:hAnsi="Trebuchet MS" w:cs="Times New Roman"/>
                <w:b/>
              </w:rPr>
              <w:t>Ț</w:t>
            </w:r>
            <w:r w:rsidRPr="00340180">
              <w:rPr>
                <w:rFonts w:ascii="Trebuchet MS" w:eastAsia="Times New Roman" w:hAnsi="Trebuchet MS" w:cs="Times New Roman"/>
                <w:b/>
              </w:rPr>
              <w:t>IA PUBLICĂ</w:t>
            </w:r>
          </w:p>
        </w:tc>
        <w:tc>
          <w:tcPr>
            <w:tcW w:w="1791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NR. ÎNREGISTRARE</w:t>
            </w:r>
          </w:p>
        </w:tc>
      </w:tr>
      <w:tr w:rsidR="00DD6002" w:rsidRPr="00340180" w:rsidTr="008E24AD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Direc</w:t>
            </w:r>
            <w:r w:rsidR="005A49BB" w:rsidRPr="00340180">
              <w:rPr>
                <w:rFonts w:ascii="Trebuchet MS" w:eastAsia="Times New Roman" w:hAnsi="Trebuchet MS" w:cs="Times New Roman"/>
                <w:b/>
              </w:rPr>
              <w:t>ț</w:t>
            </w:r>
            <w:r w:rsidRPr="00340180">
              <w:rPr>
                <w:rFonts w:ascii="Trebuchet MS" w:eastAsia="Times New Roman" w:hAnsi="Trebuchet MS" w:cs="Times New Roman"/>
                <w:b/>
              </w:rPr>
              <w:t xml:space="preserve">ia </w:t>
            </w:r>
            <w:r w:rsidR="00C73D44" w:rsidRPr="00340180">
              <w:rPr>
                <w:rFonts w:ascii="Trebuchet MS" w:eastAsia="Times New Roman" w:hAnsi="Trebuchet MS" w:cs="Times New Roman"/>
                <w:b/>
              </w:rPr>
              <w:t>Avizare</w:t>
            </w:r>
          </w:p>
        </w:tc>
      </w:tr>
      <w:tr w:rsidR="00DD6002" w:rsidRPr="00340180" w:rsidTr="008E24AD">
        <w:trPr>
          <w:trHeight w:val="336"/>
        </w:trPr>
        <w:tc>
          <w:tcPr>
            <w:tcW w:w="3128" w:type="dxa"/>
            <w:shd w:val="clear" w:color="auto" w:fill="auto"/>
          </w:tcPr>
          <w:p w:rsidR="00DD6002" w:rsidRPr="00340180" w:rsidRDefault="00C73D44" w:rsidP="00C73D44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  <w:r w:rsidRPr="00340180">
              <w:rPr>
                <w:rFonts w:ascii="Trebuchet MS" w:eastAsia="Times New Roman" w:hAnsi="Trebuchet MS" w:cs="Times New Roman"/>
              </w:rPr>
              <w:t>Daniela DEUȘAN</w:t>
            </w:r>
          </w:p>
          <w:p w:rsidR="00DD6002" w:rsidRPr="00340180" w:rsidRDefault="00DD6002" w:rsidP="00C73D44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  <w:p w:rsidR="00DD6002" w:rsidRPr="00340180" w:rsidRDefault="00DD6002" w:rsidP="00C73D44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DD6002" w:rsidRPr="00340180" w:rsidRDefault="00C73D44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u w:val="single"/>
              </w:rPr>
            </w:pPr>
            <w:r w:rsidRPr="00340180">
              <w:rPr>
                <w:rFonts w:ascii="Trebuchet MS" w:eastAsia="Times New Roman" w:hAnsi="Trebuchet MS" w:cs="Times New Roman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  <w:tr w:rsidR="00DD6002" w:rsidRPr="00340180" w:rsidTr="008E24AD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rPr>
                <w:rFonts w:ascii="Trebuchet MS" w:eastAsia="Times New Roman" w:hAnsi="Trebuchet MS" w:cs="Times New Roman"/>
                <w:b/>
              </w:rPr>
            </w:pPr>
            <w:r w:rsidRPr="00340180">
              <w:rPr>
                <w:rFonts w:ascii="Trebuchet MS" w:eastAsia="Times New Roman" w:hAnsi="Trebuchet MS" w:cs="Times New Roman"/>
                <w:b/>
              </w:rPr>
              <w:t>Direc</w:t>
            </w:r>
            <w:r w:rsidR="005A49BB" w:rsidRPr="00340180">
              <w:rPr>
                <w:rFonts w:ascii="Trebuchet MS" w:eastAsia="Times New Roman" w:hAnsi="Trebuchet MS" w:cs="Times New Roman"/>
                <w:b/>
              </w:rPr>
              <w:t>ț</w:t>
            </w:r>
            <w:r w:rsidRPr="00340180">
              <w:rPr>
                <w:rFonts w:ascii="Trebuchet MS" w:eastAsia="Times New Roman" w:hAnsi="Trebuchet MS" w:cs="Times New Roman"/>
                <w:b/>
              </w:rPr>
              <w:t>ia T</w:t>
            </w:r>
            <w:r w:rsidR="00E81467" w:rsidRPr="00340180">
              <w:rPr>
                <w:rFonts w:ascii="Trebuchet MS" w:eastAsia="Times New Roman" w:hAnsi="Trebuchet MS" w:cs="Times New Roman"/>
                <w:b/>
              </w:rPr>
              <w:t>r</w:t>
            </w:r>
            <w:r w:rsidRPr="00340180">
              <w:rPr>
                <w:rFonts w:ascii="Trebuchet MS" w:eastAsia="Times New Roman" w:hAnsi="Trebuchet MS" w:cs="Times New Roman"/>
                <w:b/>
              </w:rPr>
              <w:t>ansport Naval</w:t>
            </w:r>
          </w:p>
        </w:tc>
      </w:tr>
      <w:tr w:rsidR="00DD6002" w:rsidRPr="00340180" w:rsidTr="008E24AD">
        <w:trPr>
          <w:trHeight w:val="20"/>
        </w:trPr>
        <w:tc>
          <w:tcPr>
            <w:tcW w:w="3128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  <w:r w:rsidRPr="00340180">
              <w:rPr>
                <w:rFonts w:ascii="Trebuchet MS" w:eastAsia="Times New Roman" w:hAnsi="Trebuchet MS" w:cs="Times New Roman"/>
              </w:rPr>
              <w:t>Gabriela MURGEANU</w:t>
            </w:r>
          </w:p>
          <w:p w:rsidR="00DD6002" w:rsidRPr="00340180" w:rsidRDefault="00DD6002" w:rsidP="00C73D44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  <w:p w:rsidR="00DD6002" w:rsidRPr="00340180" w:rsidRDefault="00DD6002" w:rsidP="00C73D44">
            <w:pPr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555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  <w:r w:rsidRPr="00340180">
              <w:rPr>
                <w:rFonts w:ascii="Trebuchet MS" w:eastAsia="Times New Roman" w:hAnsi="Trebuchet MS" w:cs="Times New Roman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DD6002" w:rsidRPr="00340180" w:rsidRDefault="00DD6002" w:rsidP="00C73D4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u w:val="single"/>
              </w:rPr>
            </w:pPr>
          </w:p>
        </w:tc>
      </w:tr>
    </w:tbl>
    <w:p w:rsidR="00251744" w:rsidRPr="00340180" w:rsidRDefault="00251744" w:rsidP="00D07303">
      <w:pPr>
        <w:spacing w:after="0" w:line="240" w:lineRule="auto"/>
        <w:jc w:val="center"/>
        <w:rPr>
          <w:rFonts w:ascii="Trebuchet MS" w:eastAsia="Times New Roman" w:hAnsi="Trebuchet MS" w:cs="Times New Roman"/>
          <w:lang w:eastAsia="ro-RO"/>
        </w:rPr>
      </w:pPr>
    </w:p>
    <w:sectPr w:rsidR="00251744" w:rsidRPr="00340180" w:rsidSect="00B627A4">
      <w:footerReference w:type="default" r:id="rId9"/>
      <w:pgSz w:w="11906" w:h="16838"/>
      <w:pgMar w:top="450" w:right="850" w:bottom="1080" w:left="1138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E7" w:rsidRDefault="00D30CE7" w:rsidP="00AE6EC7">
      <w:pPr>
        <w:spacing w:after="0" w:line="240" w:lineRule="auto"/>
      </w:pPr>
      <w:r>
        <w:separator/>
      </w:r>
    </w:p>
  </w:endnote>
  <w:endnote w:type="continuationSeparator" w:id="0">
    <w:p w:rsidR="00D30CE7" w:rsidRDefault="00D30CE7" w:rsidP="00A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216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751" w:rsidRDefault="00802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E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2751" w:rsidRDefault="0080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E7" w:rsidRDefault="00D30CE7" w:rsidP="00AE6EC7">
      <w:pPr>
        <w:spacing w:after="0" w:line="240" w:lineRule="auto"/>
      </w:pPr>
      <w:r>
        <w:separator/>
      </w:r>
    </w:p>
  </w:footnote>
  <w:footnote w:type="continuationSeparator" w:id="0">
    <w:p w:rsidR="00D30CE7" w:rsidRDefault="00D30CE7" w:rsidP="00A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CF8"/>
    <w:multiLevelType w:val="hybridMultilevel"/>
    <w:tmpl w:val="D7428614"/>
    <w:lvl w:ilvl="0" w:tplc="6D68B88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9F09D7"/>
    <w:multiLevelType w:val="hybridMultilevel"/>
    <w:tmpl w:val="483ECB8A"/>
    <w:lvl w:ilvl="0" w:tplc="F6F4790C">
      <w:start w:val="1"/>
      <w:numFmt w:val="decimal"/>
      <w:lvlText w:val="%1"/>
      <w:lvlJc w:val="left"/>
      <w:pPr>
        <w:ind w:left="1065" w:hanging="705"/>
      </w:pPr>
      <w:rPr>
        <w:rFonts w:eastAsiaTheme="minorEastAs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A"/>
    <w:rsid w:val="00006F96"/>
    <w:rsid w:val="00011556"/>
    <w:rsid w:val="000224C3"/>
    <w:rsid w:val="00055914"/>
    <w:rsid w:val="000560B7"/>
    <w:rsid w:val="000613C1"/>
    <w:rsid w:val="0006150F"/>
    <w:rsid w:val="00086509"/>
    <w:rsid w:val="00091D4E"/>
    <w:rsid w:val="000A23DD"/>
    <w:rsid w:val="000B2E02"/>
    <w:rsid w:val="000B51F7"/>
    <w:rsid w:val="000C0AE1"/>
    <w:rsid w:val="000C2461"/>
    <w:rsid w:val="000C65E7"/>
    <w:rsid w:val="000D1CCC"/>
    <w:rsid w:val="000D6F84"/>
    <w:rsid w:val="001144D1"/>
    <w:rsid w:val="00122FBF"/>
    <w:rsid w:val="00136733"/>
    <w:rsid w:val="00145EBD"/>
    <w:rsid w:val="001503E7"/>
    <w:rsid w:val="00151249"/>
    <w:rsid w:val="001560F7"/>
    <w:rsid w:val="00157891"/>
    <w:rsid w:val="0019444D"/>
    <w:rsid w:val="001A7C25"/>
    <w:rsid w:val="001B29B5"/>
    <w:rsid w:val="001C0BD9"/>
    <w:rsid w:val="001D5B24"/>
    <w:rsid w:val="001D6E37"/>
    <w:rsid w:val="001F470B"/>
    <w:rsid w:val="001F522E"/>
    <w:rsid w:val="001F532B"/>
    <w:rsid w:val="00204DA7"/>
    <w:rsid w:val="00216CD2"/>
    <w:rsid w:val="00223C03"/>
    <w:rsid w:val="00227280"/>
    <w:rsid w:val="0023014F"/>
    <w:rsid w:val="00232562"/>
    <w:rsid w:val="00232755"/>
    <w:rsid w:val="00233004"/>
    <w:rsid w:val="00251744"/>
    <w:rsid w:val="00271C04"/>
    <w:rsid w:val="00276CA5"/>
    <w:rsid w:val="002873FD"/>
    <w:rsid w:val="002A2C18"/>
    <w:rsid w:val="002A3882"/>
    <w:rsid w:val="002A588D"/>
    <w:rsid w:val="002B0CCE"/>
    <w:rsid w:val="002B5ECE"/>
    <w:rsid w:val="002D48F4"/>
    <w:rsid w:val="002D6777"/>
    <w:rsid w:val="002F4667"/>
    <w:rsid w:val="00306C47"/>
    <w:rsid w:val="003177A0"/>
    <w:rsid w:val="00325404"/>
    <w:rsid w:val="00330B0D"/>
    <w:rsid w:val="00337BD5"/>
    <w:rsid w:val="00340180"/>
    <w:rsid w:val="0034363C"/>
    <w:rsid w:val="00350FCF"/>
    <w:rsid w:val="00364AB9"/>
    <w:rsid w:val="0037147D"/>
    <w:rsid w:val="00371FE1"/>
    <w:rsid w:val="0038227C"/>
    <w:rsid w:val="00382BA9"/>
    <w:rsid w:val="00385F93"/>
    <w:rsid w:val="003A0045"/>
    <w:rsid w:val="003B13B0"/>
    <w:rsid w:val="003B57BC"/>
    <w:rsid w:val="003C5E5D"/>
    <w:rsid w:val="003D6B2A"/>
    <w:rsid w:val="003F0A37"/>
    <w:rsid w:val="003F1D23"/>
    <w:rsid w:val="0040122F"/>
    <w:rsid w:val="004117C1"/>
    <w:rsid w:val="00427270"/>
    <w:rsid w:val="0043385B"/>
    <w:rsid w:val="0044785C"/>
    <w:rsid w:val="00450F7F"/>
    <w:rsid w:val="00461C67"/>
    <w:rsid w:val="00463EDB"/>
    <w:rsid w:val="004709F2"/>
    <w:rsid w:val="004A477E"/>
    <w:rsid w:val="004A6219"/>
    <w:rsid w:val="004B05DF"/>
    <w:rsid w:val="004C712F"/>
    <w:rsid w:val="004C7930"/>
    <w:rsid w:val="004D1798"/>
    <w:rsid w:val="004D2571"/>
    <w:rsid w:val="004D4CB2"/>
    <w:rsid w:val="004D7278"/>
    <w:rsid w:val="004E1D26"/>
    <w:rsid w:val="004E3FF2"/>
    <w:rsid w:val="004E7879"/>
    <w:rsid w:val="004F388B"/>
    <w:rsid w:val="004F390A"/>
    <w:rsid w:val="004F4B40"/>
    <w:rsid w:val="004F7CA6"/>
    <w:rsid w:val="005279B8"/>
    <w:rsid w:val="00531112"/>
    <w:rsid w:val="00532102"/>
    <w:rsid w:val="00544DC1"/>
    <w:rsid w:val="00563E51"/>
    <w:rsid w:val="0056484C"/>
    <w:rsid w:val="00570F2F"/>
    <w:rsid w:val="00586D3B"/>
    <w:rsid w:val="00595DAC"/>
    <w:rsid w:val="005A2CA3"/>
    <w:rsid w:val="005A41AB"/>
    <w:rsid w:val="005A49BB"/>
    <w:rsid w:val="005B0C7B"/>
    <w:rsid w:val="005C6DD2"/>
    <w:rsid w:val="005E2655"/>
    <w:rsid w:val="005E2D07"/>
    <w:rsid w:val="005E4CA6"/>
    <w:rsid w:val="005E4F12"/>
    <w:rsid w:val="005F1C3C"/>
    <w:rsid w:val="00601047"/>
    <w:rsid w:val="00606D9A"/>
    <w:rsid w:val="00611C68"/>
    <w:rsid w:val="00614E44"/>
    <w:rsid w:val="006208BE"/>
    <w:rsid w:val="006223A7"/>
    <w:rsid w:val="0062309C"/>
    <w:rsid w:val="00625FD4"/>
    <w:rsid w:val="00626169"/>
    <w:rsid w:val="00643291"/>
    <w:rsid w:val="00652827"/>
    <w:rsid w:val="006636DB"/>
    <w:rsid w:val="00663FA4"/>
    <w:rsid w:val="00677B6A"/>
    <w:rsid w:val="00682609"/>
    <w:rsid w:val="00692602"/>
    <w:rsid w:val="006B5CB2"/>
    <w:rsid w:val="006C6463"/>
    <w:rsid w:val="006D22DF"/>
    <w:rsid w:val="006D3E09"/>
    <w:rsid w:val="007064B9"/>
    <w:rsid w:val="0071334A"/>
    <w:rsid w:val="00716099"/>
    <w:rsid w:val="00716427"/>
    <w:rsid w:val="00741C02"/>
    <w:rsid w:val="00760632"/>
    <w:rsid w:val="0076762F"/>
    <w:rsid w:val="007C0258"/>
    <w:rsid w:val="007E0570"/>
    <w:rsid w:val="007E2B1B"/>
    <w:rsid w:val="008021DB"/>
    <w:rsid w:val="00802751"/>
    <w:rsid w:val="00813FFA"/>
    <w:rsid w:val="008150AB"/>
    <w:rsid w:val="008156D6"/>
    <w:rsid w:val="00815EFC"/>
    <w:rsid w:val="00822808"/>
    <w:rsid w:val="00832B6C"/>
    <w:rsid w:val="00846C9A"/>
    <w:rsid w:val="00850868"/>
    <w:rsid w:val="00863ABB"/>
    <w:rsid w:val="0087522C"/>
    <w:rsid w:val="0088614E"/>
    <w:rsid w:val="00896EBD"/>
    <w:rsid w:val="008A013F"/>
    <w:rsid w:val="008B68B2"/>
    <w:rsid w:val="008B7579"/>
    <w:rsid w:val="008C67EC"/>
    <w:rsid w:val="008E40B4"/>
    <w:rsid w:val="008E5405"/>
    <w:rsid w:val="008E7628"/>
    <w:rsid w:val="008E7C64"/>
    <w:rsid w:val="008F10FB"/>
    <w:rsid w:val="008F2ED5"/>
    <w:rsid w:val="008F7E13"/>
    <w:rsid w:val="009045C8"/>
    <w:rsid w:val="00911F76"/>
    <w:rsid w:val="00917A3C"/>
    <w:rsid w:val="00926BAC"/>
    <w:rsid w:val="00931625"/>
    <w:rsid w:val="00932D06"/>
    <w:rsid w:val="00942E73"/>
    <w:rsid w:val="00950B04"/>
    <w:rsid w:val="00973F59"/>
    <w:rsid w:val="009744AF"/>
    <w:rsid w:val="009749F9"/>
    <w:rsid w:val="00982203"/>
    <w:rsid w:val="00994032"/>
    <w:rsid w:val="00997583"/>
    <w:rsid w:val="009B504C"/>
    <w:rsid w:val="009B636A"/>
    <w:rsid w:val="009C04E2"/>
    <w:rsid w:val="009C109D"/>
    <w:rsid w:val="009E0473"/>
    <w:rsid w:val="009E1087"/>
    <w:rsid w:val="009E15BB"/>
    <w:rsid w:val="009E475E"/>
    <w:rsid w:val="009F0F0B"/>
    <w:rsid w:val="009F53FE"/>
    <w:rsid w:val="009F66B5"/>
    <w:rsid w:val="00A051B9"/>
    <w:rsid w:val="00A16F2B"/>
    <w:rsid w:val="00A21C86"/>
    <w:rsid w:val="00A268D9"/>
    <w:rsid w:val="00A323FF"/>
    <w:rsid w:val="00A369A5"/>
    <w:rsid w:val="00A36A50"/>
    <w:rsid w:val="00A3798B"/>
    <w:rsid w:val="00A40369"/>
    <w:rsid w:val="00A4663D"/>
    <w:rsid w:val="00A47029"/>
    <w:rsid w:val="00A50A1A"/>
    <w:rsid w:val="00A525F9"/>
    <w:rsid w:val="00A5747B"/>
    <w:rsid w:val="00A63132"/>
    <w:rsid w:val="00A71E69"/>
    <w:rsid w:val="00A7542A"/>
    <w:rsid w:val="00A76424"/>
    <w:rsid w:val="00A83246"/>
    <w:rsid w:val="00A8385A"/>
    <w:rsid w:val="00A845D3"/>
    <w:rsid w:val="00A91233"/>
    <w:rsid w:val="00AA17F3"/>
    <w:rsid w:val="00AA3D08"/>
    <w:rsid w:val="00AA7A37"/>
    <w:rsid w:val="00AB1304"/>
    <w:rsid w:val="00AB37C4"/>
    <w:rsid w:val="00AB61D2"/>
    <w:rsid w:val="00AB6367"/>
    <w:rsid w:val="00AB7928"/>
    <w:rsid w:val="00AC5F05"/>
    <w:rsid w:val="00AE27D1"/>
    <w:rsid w:val="00AE2B97"/>
    <w:rsid w:val="00AE6EC7"/>
    <w:rsid w:val="00AE7797"/>
    <w:rsid w:val="00AF1842"/>
    <w:rsid w:val="00AF7E4D"/>
    <w:rsid w:val="00B138F8"/>
    <w:rsid w:val="00B27EFB"/>
    <w:rsid w:val="00B34AC1"/>
    <w:rsid w:val="00B44AFA"/>
    <w:rsid w:val="00B55C43"/>
    <w:rsid w:val="00B56B36"/>
    <w:rsid w:val="00B627A4"/>
    <w:rsid w:val="00B63048"/>
    <w:rsid w:val="00B874E2"/>
    <w:rsid w:val="00B96CF4"/>
    <w:rsid w:val="00BB648A"/>
    <w:rsid w:val="00BC142D"/>
    <w:rsid w:val="00BC5C31"/>
    <w:rsid w:val="00BD51E9"/>
    <w:rsid w:val="00BE4BB0"/>
    <w:rsid w:val="00C000DF"/>
    <w:rsid w:val="00C01EB7"/>
    <w:rsid w:val="00C14283"/>
    <w:rsid w:val="00C258BC"/>
    <w:rsid w:val="00C27CAF"/>
    <w:rsid w:val="00C526E6"/>
    <w:rsid w:val="00C661C8"/>
    <w:rsid w:val="00C73D44"/>
    <w:rsid w:val="00C7438C"/>
    <w:rsid w:val="00C8785E"/>
    <w:rsid w:val="00CA05FB"/>
    <w:rsid w:val="00CA5656"/>
    <w:rsid w:val="00CA68EA"/>
    <w:rsid w:val="00CB586D"/>
    <w:rsid w:val="00CC5D1A"/>
    <w:rsid w:val="00CD0C9B"/>
    <w:rsid w:val="00CE390B"/>
    <w:rsid w:val="00CF2303"/>
    <w:rsid w:val="00CF6CA5"/>
    <w:rsid w:val="00D010F3"/>
    <w:rsid w:val="00D07303"/>
    <w:rsid w:val="00D13DDE"/>
    <w:rsid w:val="00D17643"/>
    <w:rsid w:val="00D2173C"/>
    <w:rsid w:val="00D2173E"/>
    <w:rsid w:val="00D30CE7"/>
    <w:rsid w:val="00D57B34"/>
    <w:rsid w:val="00D71B56"/>
    <w:rsid w:val="00D776C4"/>
    <w:rsid w:val="00D863E6"/>
    <w:rsid w:val="00DA2FCF"/>
    <w:rsid w:val="00DA523B"/>
    <w:rsid w:val="00DC5E70"/>
    <w:rsid w:val="00DD6002"/>
    <w:rsid w:val="00DE045F"/>
    <w:rsid w:val="00DE1364"/>
    <w:rsid w:val="00DE75BE"/>
    <w:rsid w:val="00DF2159"/>
    <w:rsid w:val="00E0463A"/>
    <w:rsid w:val="00E14E20"/>
    <w:rsid w:val="00E22D89"/>
    <w:rsid w:val="00E307C3"/>
    <w:rsid w:val="00E323A6"/>
    <w:rsid w:val="00E376A6"/>
    <w:rsid w:val="00E54612"/>
    <w:rsid w:val="00E60729"/>
    <w:rsid w:val="00E6794C"/>
    <w:rsid w:val="00E738D2"/>
    <w:rsid w:val="00E753C5"/>
    <w:rsid w:val="00E80C30"/>
    <w:rsid w:val="00E81467"/>
    <w:rsid w:val="00E93B0C"/>
    <w:rsid w:val="00E94EBD"/>
    <w:rsid w:val="00E9796A"/>
    <w:rsid w:val="00EA7FF3"/>
    <w:rsid w:val="00EB4A28"/>
    <w:rsid w:val="00EC12E8"/>
    <w:rsid w:val="00EC16C2"/>
    <w:rsid w:val="00EC3BC5"/>
    <w:rsid w:val="00EE59BC"/>
    <w:rsid w:val="00EF49B4"/>
    <w:rsid w:val="00EF5962"/>
    <w:rsid w:val="00EF6A8A"/>
    <w:rsid w:val="00F118E8"/>
    <w:rsid w:val="00F17130"/>
    <w:rsid w:val="00F4139C"/>
    <w:rsid w:val="00F4346C"/>
    <w:rsid w:val="00F602B8"/>
    <w:rsid w:val="00F72FAF"/>
    <w:rsid w:val="00F771A9"/>
    <w:rsid w:val="00F87C30"/>
    <w:rsid w:val="00F90568"/>
    <w:rsid w:val="00F914D0"/>
    <w:rsid w:val="00F91909"/>
    <w:rsid w:val="00F979FE"/>
    <w:rsid w:val="00FA57BA"/>
    <w:rsid w:val="00FE1ECC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A08175-DD91-4AD9-BA27-E4E6FB7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0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C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C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E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5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5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B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racterCaracter">
    <w:name w:val="Caracter Caracter"/>
    <w:basedOn w:val="Normal"/>
    <w:rsid w:val="001F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4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7D8D-3026-439F-8E74-0D06BB2D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Naumof</dc:creator>
  <cp:lastModifiedBy>Gabriela Murgeanu</cp:lastModifiedBy>
  <cp:revision>3</cp:revision>
  <cp:lastPrinted>2019-07-03T13:04:00Z</cp:lastPrinted>
  <dcterms:created xsi:type="dcterms:W3CDTF">2019-07-03T10:37:00Z</dcterms:created>
  <dcterms:modified xsi:type="dcterms:W3CDTF">2019-07-03T13:05:00Z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8130bc93-0a66-4fbe-92a6-649a35375c34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