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1.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F71881" w14:textId="77777777" w:rsidR="004774E3" w:rsidRPr="004774E3" w:rsidRDefault="004774E3">
      <w:pPr>
        <w:spacing w:before="315" w:line="249" w:lineRule="exact"/>
        <w:jc w:val="center"/>
        <w:textAlignment w:val="baseline"/>
        <w:rPr>
          <w:b/>
          <w:color w:val="000000"/>
          <w:sz w:val="24"/>
          <w:szCs w:val="24"/>
        </w:rPr>
      </w:pPr>
      <w:bookmarkStart w:id="0" w:name="_GoBack"/>
      <w:bookmarkEnd w:id="0"/>
      <w:r>
        <w:rPr>
          <w:rFonts w:ascii="Arial" w:hAnsi="Arial"/>
          <w:b/>
          <w:color w:val="000000"/>
          <w:sz w:val="21"/>
          <w:szCs w:val="21"/>
        </w:rPr>
        <w:t xml:space="preserve">                                                                                                                                       Anexa nr.2                                                                   </w:t>
      </w:r>
    </w:p>
    <w:p w14:paraId="1B73FB76" w14:textId="77777777" w:rsidR="00A2720C" w:rsidRPr="00F57896" w:rsidRDefault="00743535">
      <w:pPr>
        <w:spacing w:before="315" w:line="249" w:lineRule="exact"/>
        <w:jc w:val="center"/>
        <w:textAlignment w:val="baseline"/>
        <w:rPr>
          <w:rFonts w:eastAsia="Times New Roman"/>
          <w:b/>
          <w:color w:val="000000"/>
          <w:sz w:val="24"/>
          <w:szCs w:val="24"/>
        </w:rPr>
      </w:pPr>
      <w:r w:rsidRPr="00F57896">
        <w:rPr>
          <w:b/>
          <w:color w:val="000000"/>
          <w:sz w:val="24"/>
          <w:szCs w:val="24"/>
        </w:rPr>
        <w:t>Modificarea textului</w:t>
      </w:r>
      <w:r w:rsidR="000643BF" w:rsidRPr="00F57896">
        <w:rPr>
          <w:b/>
          <w:color w:val="000000"/>
          <w:sz w:val="24"/>
          <w:szCs w:val="24"/>
        </w:rPr>
        <w:t xml:space="preserve"> </w:t>
      </w:r>
      <w:r w:rsidR="000643BF" w:rsidRPr="00F57896">
        <w:rPr>
          <w:color w:val="000000"/>
          <w:sz w:val="24"/>
          <w:szCs w:val="24"/>
        </w:rPr>
        <w:t>Anexei F (APTU UR)</w:t>
      </w:r>
      <w:r w:rsidR="0033141A">
        <w:rPr>
          <w:color w:val="000000"/>
          <w:sz w:val="24"/>
          <w:szCs w:val="24"/>
        </w:rPr>
        <w:t xml:space="preserve"> la </w:t>
      </w:r>
      <w:r w:rsidR="0033141A">
        <w:rPr>
          <w:sz w:val="24"/>
          <w:szCs w:val="24"/>
        </w:rPr>
        <w:t>Convenţia</w:t>
      </w:r>
      <w:r w:rsidR="0033141A" w:rsidRPr="00344F11">
        <w:rPr>
          <w:sz w:val="24"/>
          <w:szCs w:val="24"/>
        </w:rPr>
        <w:t xml:space="preserve"> </w:t>
      </w:r>
      <w:r w:rsidR="0033141A">
        <w:rPr>
          <w:sz w:val="24"/>
          <w:szCs w:val="24"/>
        </w:rPr>
        <w:t xml:space="preserve">privind </w:t>
      </w:r>
      <w:r w:rsidR="0033141A" w:rsidRPr="00344F11">
        <w:rPr>
          <w:sz w:val="24"/>
          <w:szCs w:val="24"/>
        </w:rPr>
        <w:t xml:space="preserve">transporturile internaţionale feroviare </w:t>
      </w:r>
      <w:r w:rsidR="0033141A">
        <w:rPr>
          <w:sz w:val="24"/>
          <w:szCs w:val="24"/>
        </w:rPr>
        <w:t>(</w:t>
      </w:r>
      <w:r w:rsidR="0033141A" w:rsidRPr="00344F11">
        <w:rPr>
          <w:sz w:val="24"/>
          <w:szCs w:val="24"/>
        </w:rPr>
        <w:t>COTIF</w:t>
      </w:r>
      <w:r w:rsidR="0033141A">
        <w:rPr>
          <w:sz w:val="24"/>
          <w:szCs w:val="24"/>
        </w:rPr>
        <w:t>)</w:t>
      </w:r>
    </w:p>
    <w:p w14:paraId="4B82953D" w14:textId="77777777" w:rsidR="00A2720C" w:rsidRPr="00F57896" w:rsidRDefault="00743535">
      <w:pPr>
        <w:spacing w:before="229" w:line="247" w:lineRule="exact"/>
        <w:jc w:val="both"/>
        <w:textAlignment w:val="baseline"/>
        <w:rPr>
          <w:rFonts w:eastAsia="Times New Roman"/>
          <w:color w:val="000000"/>
          <w:sz w:val="24"/>
          <w:szCs w:val="24"/>
        </w:rPr>
      </w:pPr>
      <w:r w:rsidRPr="00F57896">
        <w:rPr>
          <w:color w:val="000000"/>
          <w:sz w:val="24"/>
          <w:szCs w:val="24"/>
        </w:rPr>
        <w:t>Articolul 3 din Regulile uniforme privind validarea standardelor tehnice și adoptarea Prescripțiilor Tehnice Uniforme aplicabile materialului feroviar destinat utilizării în traficul internațional (APTU), a</w:t>
      </w:r>
      <w:r w:rsidR="006D5A46" w:rsidRPr="00F57896">
        <w:rPr>
          <w:color w:val="000000"/>
          <w:sz w:val="24"/>
          <w:szCs w:val="24"/>
        </w:rPr>
        <w:t>nexa</w:t>
      </w:r>
      <w:r w:rsidRPr="00F57896">
        <w:rPr>
          <w:color w:val="000000"/>
          <w:sz w:val="24"/>
          <w:szCs w:val="24"/>
        </w:rPr>
        <w:t xml:space="preserve"> F la Convenția privind transporturile internaționale feroviare (COTlF) din 9 mai 1980, în versiunea Protocolului din 3 iunie 1999 (Protocolul de la Vilnius) și cu amendamentele adoptate de Comisia de revizuire în cea de-a 24-a și 25-a sesiune, are următorul cuprins:</w:t>
      </w:r>
    </w:p>
    <w:p w14:paraId="6BA427EA" w14:textId="77777777" w:rsidR="00A2720C" w:rsidRPr="00F57896" w:rsidRDefault="00743535">
      <w:pPr>
        <w:spacing w:before="237" w:line="249" w:lineRule="exact"/>
        <w:ind w:left="4536" w:hanging="216"/>
        <w:textAlignment w:val="baseline"/>
        <w:rPr>
          <w:rFonts w:eastAsia="Times New Roman"/>
          <w:b/>
          <w:color w:val="000000"/>
          <w:sz w:val="24"/>
          <w:szCs w:val="24"/>
        </w:rPr>
      </w:pPr>
      <w:r w:rsidRPr="00F57896">
        <w:rPr>
          <w:b/>
          <w:color w:val="000000"/>
          <w:sz w:val="24"/>
          <w:szCs w:val="24"/>
        </w:rPr>
        <w:t xml:space="preserve">„Articolul 3 </w:t>
      </w:r>
      <w:r w:rsidRPr="00F57896">
        <w:rPr>
          <w:b/>
          <w:color w:val="000000"/>
          <w:sz w:val="24"/>
          <w:szCs w:val="24"/>
        </w:rPr>
        <w:br/>
        <w:t>Scopul</w:t>
      </w:r>
    </w:p>
    <w:p w14:paraId="139C2549" w14:textId="77777777" w:rsidR="00A2720C" w:rsidRPr="00F57896" w:rsidRDefault="00F57896" w:rsidP="002F4AD4">
      <w:pPr>
        <w:spacing w:before="233" w:line="239" w:lineRule="exact"/>
        <w:jc w:val="both"/>
        <w:textAlignment w:val="baseline"/>
        <w:rPr>
          <w:rFonts w:eastAsia="Times New Roman"/>
          <w:color w:val="000000"/>
          <w:sz w:val="24"/>
          <w:szCs w:val="24"/>
        </w:rPr>
      </w:pPr>
      <w:r>
        <w:t xml:space="preserve">§ 1       </w:t>
      </w:r>
      <w:r w:rsidR="00743535" w:rsidRPr="00F57896">
        <w:rPr>
          <w:color w:val="000000"/>
          <w:sz w:val="24"/>
          <w:szCs w:val="24"/>
        </w:rPr>
        <w:t>Validarea standardelor tehnice referitoare la materialul feroviar și adoptarea UTP aplicabile materialului feroviar au ca scop</w:t>
      </w:r>
      <w:r w:rsidR="00743535" w:rsidRPr="00F57896">
        <w:rPr>
          <w:color w:val="000000"/>
          <w:sz w:val="24"/>
          <w:szCs w:val="24"/>
        </w:rPr>
        <w:cr/>
      </w:r>
      <w:r w:rsidR="00743535" w:rsidRPr="00F57896">
        <w:rPr>
          <w:color w:val="000000"/>
          <w:sz w:val="24"/>
          <w:szCs w:val="24"/>
        </w:rPr>
        <w:br/>
      </w:r>
    </w:p>
    <w:p w14:paraId="684F1CEF" w14:textId="77777777" w:rsidR="00A2720C" w:rsidRPr="00F57896" w:rsidRDefault="00743535">
      <w:pPr>
        <w:numPr>
          <w:ilvl w:val="0"/>
          <w:numId w:val="2"/>
        </w:numPr>
        <w:tabs>
          <w:tab w:val="clear" w:pos="504"/>
          <w:tab w:val="left" w:pos="1368"/>
        </w:tabs>
        <w:spacing w:before="229" w:line="246" w:lineRule="exact"/>
        <w:ind w:left="1368" w:hanging="504"/>
        <w:textAlignment w:val="baseline"/>
        <w:rPr>
          <w:rFonts w:eastAsia="Times New Roman"/>
          <w:color w:val="000000"/>
          <w:sz w:val="24"/>
          <w:szCs w:val="24"/>
        </w:rPr>
      </w:pPr>
      <w:r w:rsidRPr="00F57896">
        <w:rPr>
          <w:color w:val="000000"/>
          <w:sz w:val="24"/>
          <w:szCs w:val="24"/>
        </w:rPr>
        <w:t>facilitarea liberei circulații a vehiculelor în traficul internațional,</w:t>
      </w:r>
    </w:p>
    <w:p w14:paraId="3E15FE9A" w14:textId="77777777" w:rsidR="00A2720C" w:rsidRPr="00F57896" w:rsidRDefault="00743535">
      <w:pPr>
        <w:numPr>
          <w:ilvl w:val="0"/>
          <w:numId w:val="2"/>
        </w:numPr>
        <w:tabs>
          <w:tab w:val="clear" w:pos="504"/>
          <w:tab w:val="left" w:pos="1368"/>
        </w:tabs>
        <w:spacing w:before="229" w:line="247" w:lineRule="exact"/>
        <w:ind w:left="1368" w:hanging="504"/>
        <w:jc w:val="both"/>
        <w:textAlignment w:val="baseline"/>
        <w:rPr>
          <w:rFonts w:eastAsia="Times New Roman"/>
          <w:color w:val="000000"/>
          <w:sz w:val="24"/>
          <w:szCs w:val="24"/>
        </w:rPr>
      </w:pPr>
      <w:r w:rsidRPr="00F57896">
        <w:rPr>
          <w:color w:val="000000"/>
          <w:sz w:val="24"/>
          <w:szCs w:val="24"/>
        </w:rPr>
        <w:t>contribuirea la asigurarea siguranței, eficienței și disponibilității traficului internațional,</w:t>
      </w:r>
    </w:p>
    <w:p w14:paraId="6CD5247F" w14:textId="77777777" w:rsidR="00A2720C" w:rsidRPr="00F57896" w:rsidRDefault="00743535">
      <w:pPr>
        <w:numPr>
          <w:ilvl w:val="0"/>
          <w:numId w:val="2"/>
        </w:numPr>
        <w:tabs>
          <w:tab w:val="clear" w:pos="504"/>
          <w:tab w:val="left" w:pos="1368"/>
        </w:tabs>
        <w:spacing w:before="237" w:line="246" w:lineRule="exact"/>
        <w:ind w:left="1368" w:hanging="504"/>
        <w:jc w:val="both"/>
        <w:textAlignment w:val="baseline"/>
        <w:rPr>
          <w:rFonts w:eastAsia="Times New Roman"/>
          <w:color w:val="000000"/>
          <w:sz w:val="24"/>
          <w:szCs w:val="24"/>
        </w:rPr>
      </w:pPr>
      <w:r w:rsidRPr="00F57896">
        <w:rPr>
          <w:color w:val="000000"/>
          <w:sz w:val="24"/>
          <w:szCs w:val="24"/>
        </w:rPr>
        <w:t>luarea în considerare a protecției mediului și a sănătății publice.</w:t>
      </w:r>
    </w:p>
    <w:p w14:paraId="47E61213" w14:textId="77777777" w:rsidR="00A2720C" w:rsidRPr="00F57896" w:rsidRDefault="00F57896">
      <w:pPr>
        <w:tabs>
          <w:tab w:val="left" w:pos="792"/>
        </w:tabs>
        <w:spacing w:before="225" w:line="251" w:lineRule="exact"/>
        <w:ind w:left="864" w:hanging="864"/>
        <w:jc w:val="both"/>
        <w:textAlignment w:val="baseline"/>
        <w:rPr>
          <w:rFonts w:eastAsia="Times New Roman"/>
          <w:color w:val="000000"/>
          <w:sz w:val="24"/>
          <w:szCs w:val="24"/>
        </w:rPr>
      </w:pPr>
      <w:r>
        <w:t xml:space="preserve">§ </w:t>
      </w:r>
      <w:r w:rsidR="00743535" w:rsidRPr="00F57896">
        <w:rPr>
          <w:color w:val="000000"/>
          <w:sz w:val="24"/>
          <w:szCs w:val="24"/>
        </w:rPr>
        <w:t>2</w:t>
      </w:r>
      <w:r w:rsidR="00743535" w:rsidRPr="00F57896">
        <w:rPr>
          <w:color w:val="000000"/>
          <w:sz w:val="24"/>
          <w:szCs w:val="24"/>
        </w:rPr>
        <w:tab/>
        <w:t>Atunci când standardele tehnice sunt validate sau UTP sunt adoptate, se vor lua în considerare doar cele elaborate la nivel internațional.</w:t>
      </w:r>
    </w:p>
    <w:p w14:paraId="60503925" w14:textId="77777777" w:rsidR="00A2720C" w:rsidRPr="00F57896" w:rsidRDefault="00F57896">
      <w:pPr>
        <w:tabs>
          <w:tab w:val="left" w:pos="792"/>
        </w:tabs>
        <w:spacing w:before="227" w:line="246" w:lineRule="exact"/>
        <w:textAlignment w:val="baseline"/>
        <w:rPr>
          <w:rFonts w:eastAsia="Times New Roman"/>
          <w:color w:val="000000"/>
          <w:sz w:val="24"/>
          <w:szCs w:val="24"/>
        </w:rPr>
      </w:pPr>
      <w:r>
        <w:t xml:space="preserve">§ </w:t>
      </w:r>
      <w:r w:rsidR="00743535" w:rsidRPr="00F57896">
        <w:rPr>
          <w:color w:val="000000"/>
          <w:sz w:val="24"/>
          <w:szCs w:val="24"/>
        </w:rPr>
        <w:t>3</w:t>
      </w:r>
      <w:r w:rsidR="00743535" w:rsidRPr="00F57896">
        <w:rPr>
          <w:color w:val="000000"/>
          <w:sz w:val="24"/>
          <w:szCs w:val="24"/>
        </w:rPr>
        <w:tab/>
        <w:t>În măsura în care este posibil</w:t>
      </w:r>
    </w:p>
    <w:p w14:paraId="00AD1CE8" w14:textId="77777777" w:rsidR="00A2720C" w:rsidRPr="00F57896" w:rsidRDefault="00743535">
      <w:pPr>
        <w:numPr>
          <w:ilvl w:val="0"/>
          <w:numId w:val="3"/>
        </w:numPr>
        <w:tabs>
          <w:tab w:val="clear" w:pos="504"/>
          <w:tab w:val="left" w:pos="1368"/>
        </w:tabs>
        <w:spacing w:before="239" w:line="241" w:lineRule="exact"/>
        <w:ind w:left="1368" w:hanging="504"/>
        <w:jc w:val="both"/>
        <w:textAlignment w:val="baseline"/>
        <w:rPr>
          <w:rFonts w:eastAsia="Times New Roman"/>
          <w:color w:val="000000"/>
          <w:sz w:val="24"/>
          <w:szCs w:val="24"/>
        </w:rPr>
      </w:pPr>
      <w:r w:rsidRPr="00F57896">
        <w:rPr>
          <w:color w:val="000000"/>
          <w:sz w:val="24"/>
          <w:szCs w:val="24"/>
        </w:rPr>
        <w:t>este necesar să se asigure interoperabilitatea sistemelor și componentelor tehnice necesare traficului internațional;</w:t>
      </w:r>
    </w:p>
    <w:p w14:paraId="0C3AA94E" w14:textId="77777777" w:rsidR="00A2720C" w:rsidRPr="00F57896" w:rsidRDefault="00743535">
      <w:pPr>
        <w:numPr>
          <w:ilvl w:val="0"/>
          <w:numId w:val="3"/>
        </w:numPr>
        <w:tabs>
          <w:tab w:val="clear" w:pos="504"/>
          <w:tab w:val="left" w:pos="1368"/>
        </w:tabs>
        <w:spacing w:before="232" w:line="244" w:lineRule="exact"/>
        <w:ind w:left="1368" w:hanging="504"/>
        <w:jc w:val="both"/>
        <w:textAlignment w:val="baseline"/>
        <w:rPr>
          <w:rFonts w:eastAsia="Times New Roman"/>
          <w:color w:val="000000"/>
          <w:sz w:val="24"/>
          <w:szCs w:val="24"/>
        </w:rPr>
      </w:pPr>
      <w:r w:rsidRPr="00F57896">
        <w:rPr>
          <w:color w:val="000000"/>
          <w:sz w:val="24"/>
          <w:szCs w:val="24"/>
        </w:rPr>
        <w:t>standardele tehnice și UTP trebuie să fie legate de performanță; dacă este cazul, acestea vor include variante.”</w:t>
      </w:r>
    </w:p>
    <w:p w14:paraId="417DD194" w14:textId="77777777" w:rsidR="00A2720C" w:rsidRPr="00650597" w:rsidRDefault="00A2720C">
      <w:pPr>
        <w:rPr>
          <w:rFonts w:ascii="Arial" w:hAnsi="Arial" w:cs="Arial"/>
          <w:sz w:val="21"/>
          <w:szCs w:val="21"/>
        </w:rPr>
      </w:pPr>
    </w:p>
    <w:p w14:paraId="12DE019C" w14:textId="77777777" w:rsidR="00B232DB" w:rsidRPr="00650597" w:rsidRDefault="00B232DB">
      <w:pPr>
        <w:rPr>
          <w:rFonts w:ascii="Arial" w:hAnsi="Arial" w:cs="Arial"/>
          <w:sz w:val="21"/>
          <w:szCs w:val="21"/>
        </w:rPr>
      </w:pPr>
    </w:p>
    <w:p w14:paraId="69F06994" w14:textId="77777777" w:rsidR="00B232DB" w:rsidRPr="00650597" w:rsidRDefault="00B232DB">
      <w:pPr>
        <w:rPr>
          <w:rFonts w:ascii="Arial" w:hAnsi="Arial" w:cs="Arial"/>
          <w:sz w:val="21"/>
          <w:szCs w:val="21"/>
        </w:rPr>
      </w:pPr>
    </w:p>
    <w:p w14:paraId="470F3D8A" w14:textId="77777777" w:rsidR="00B232DB" w:rsidRPr="00650597" w:rsidRDefault="00B232DB">
      <w:pPr>
        <w:rPr>
          <w:rFonts w:ascii="Arial" w:hAnsi="Arial" w:cs="Arial"/>
          <w:sz w:val="21"/>
          <w:szCs w:val="21"/>
        </w:rPr>
      </w:pPr>
    </w:p>
    <w:p w14:paraId="2EB8AAC1" w14:textId="77777777" w:rsidR="00B232DB" w:rsidRPr="00650597" w:rsidRDefault="00B232DB">
      <w:pPr>
        <w:rPr>
          <w:rFonts w:ascii="Arial" w:hAnsi="Arial" w:cs="Arial"/>
          <w:sz w:val="21"/>
          <w:szCs w:val="21"/>
        </w:rPr>
      </w:pPr>
    </w:p>
    <w:p w14:paraId="7D7B7CDC" w14:textId="77777777" w:rsidR="00B232DB" w:rsidRPr="00650597" w:rsidRDefault="00B232DB">
      <w:pPr>
        <w:rPr>
          <w:rFonts w:ascii="Arial" w:hAnsi="Arial" w:cs="Arial"/>
          <w:sz w:val="21"/>
          <w:szCs w:val="21"/>
        </w:rPr>
      </w:pPr>
    </w:p>
    <w:p w14:paraId="05720075" w14:textId="77777777" w:rsidR="00B232DB" w:rsidRPr="00650597" w:rsidRDefault="00B232DB">
      <w:pPr>
        <w:rPr>
          <w:rFonts w:ascii="Arial" w:hAnsi="Arial" w:cs="Arial"/>
          <w:sz w:val="21"/>
          <w:szCs w:val="21"/>
        </w:rPr>
      </w:pPr>
    </w:p>
    <w:p w14:paraId="018837CA" w14:textId="77777777" w:rsidR="00B232DB" w:rsidRPr="00650597" w:rsidRDefault="00B232DB">
      <w:pPr>
        <w:rPr>
          <w:rFonts w:ascii="Arial" w:hAnsi="Arial" w:cs="Arial"/>
          <w:sz w:val="21"/>
          <w:szCs w:val="21"/>
        </w:rPr>
      </w:pPr>
    </w:p>
    <w:p w14:paraId="61D0E519" w14:textId="77777777" w:rsidR="00B232DB" w:rsidRPr="00650597" w:rsidRDefault="00B232DB">
      <w:pPr>
        <w:rPr>
          <w:rFonts w:ascii="Arial" w:hAnsi="Arial" w:cs="Arial"/>
          <w:sz w:val="21"/>
          <w:szCs w:val="21"/>
        </w:rPr>
      </w:pPr>
    </w:p>
    <w:p w14:paraId="25F1CA13" w14:textId="77777777" w:rsidR="00B232DB" w:rsidRPr="00650597" w:rsidRDefault="00B232DB">
      <w:pPr>
        <w:rPr>
          <w:rFonts w:ascii="Arial" w:hAnsi="Arial" w:cs="Arial"/>
          <w:sz w:val="21"/>
          <w:szCs w:val="21"/>
        </w:rPr>
      </w:pPr>
    </w:p>
    <w:p w14:paraId="47E1FF9D" w14:textId="77777777" w:rsidR="00B232DB" w:rsidRPr="00650597" w:rsidRDefault="00B232DB">
      <w:pPr>
        <w:rPr>
          <w:rFonts w:ascii="Arial" w:hAnsi="Arial" w:cs="Arial"/>
          <w:sz w:val="21"/>
          <w:szCs w:val="21"/>
        </w:rPr>
      </w:pPr>
    </w:p>
    <w:p w14:paraId="4417F32A" w14:textId="77777777" w:rsidR="00B232DB" w:rsidRPr="00650597" w:rsidRDefault="00B232DB">
      <w:pPr>
        <w:rPr>
          <w:rFonts w:ascii="Arial" w:hAnsi="Arial" w:cs="Arial"/>
          <w:sz w:val="21"/>
          <w:szCs w:val="21"/>
        </w:rPr>
      </w:pPr>
    </w:p>
    <w:p w14:paraId="65D876E2" w14:textId="77777777" w:rsidR="00B232DB" w:rsidRPr="00650597" w:rsidRDefault="00B232DB">
      <w:pPr>
        <w:rPr>
          <w:rFonts w:ascii="Arial" w:hAnsi="Arial" w:cs="Arial"/>
          <w:sz w:val="21"/>
          <w:szCs w:val="21"/>
        </w:rPr>
      </w:pPr>
    </w:p>
    <w:p w14:paraId="3C55BA22" w14:textId="77777777" w:rsidR="00B232DB" w:rsidRPr="00650597" w:rsidRDefault="00B232DB">
      <w:pPr>
        <w:rPr>
          <w:rFonts w:ascii="Arial" w:hAnsi="Arial" w:cs="Arial"/>
          <w:sz w:val="21"/>
          <w:szCs w:val="21"/>
        </w:rPr>
      </w:pPr>
    </w:p>
    <w:p w14:paraId="3FD271C2" w14:textId="77777777" w:rsidR="00B232DB" w:rsidRPr="00650597" w:rsidRDefault="00B232DB">
      <w:pPr>
        <w:rPr>
          <w:rFonts w:ascii="Arial" w:hAnsi="Arial" w:cs="Arial"/>
          <w:sz w:val="21"/>
          <w:szCs w:val="21"/>
        </w:rPr>
      </w:pPr>
    </w:p>
    <w:p w14:paraId="0762FD4A" w14:textId="77777777" w:rsidR="00B232DB" w:rsidRPr="00650597" w:rsidRDefault="00B232DB">
      <w:pPr>
        <w:rPr>
          <w:rFonts w:ascii="Arial" w:hAnsi="Arial" w:cs="Arial"/>
          <w:sz w:val="21"/>
          <w:szCs w:val="21"/>
        </w:rPr>
      </w:pPr>
    </w:p>
    <w:p w14:paraId="7B9BC33D" w14:textId="77777777" w:rsidR="00B232DB" w:rsidRPr="00650597" w:rsidRDefault="00B232DB">
      <w:pPr>
        <w:rPr>
          <w:rFonts w:ascii="Arial" w:hAnsi="Arial" w:cs="Arial"/>
          <w:sz w:val="21"/>
          <w:szCs w:val="21"/>
        </w:rPr>
      </w:pPr>
    </w:p>
    <w:p w14:paraId="219E06AE" w14:textId="77777777" w:rsidR="00B232DB" w:rsidRPr="00650597" w:rsidRDefault="00B232DB">
      <w:pPr>
        <w:rPr>
          <w:rFonts w:ascii="Arial" w:hAnsi="Arial" w:cs="Arial"/>
          <w:sz w:val="21"/>
          <w:szCs w:val="21"/>
        </w:rPr>
      </w:pPr>
    </w:p>
    <w:p w14:paraId="4672FD14" w14:textId="77777777" w:rsidR="00B232DB" w:rsidRPr="00650597" w:rsidRDefault="00B232DB">
      <w:pPr>
        <w:rPr>
          <w:rFonts w:ascii="Arial" w:hAnsi="Arial" w:cs="Arial"/>
          <w:sz w:val="21"/>
          <w:szCs w:val="21"/>
        </w:rPr>
      </w:pPr>
    </w:p>
    <w:p w14:paraId="4463C720" w14:textId="77777777" w:rsidR="00B232DB" w:rsidRPr="00650597" w:rsidRDefault="00B232DB">
      <w:pPr>
        <w:rPr>
          <w:rFonts w:ascii="Arial" w:hAnsi="Arial" w:cs="Arial"/>
          <w:sz w:val="21"/>
          <w:szCs w:val="21"/>
        </w:rPr>
      </w:pPr>
    </w:p>
    <w:p w14:paraId="47409852" w14:textId="77777777" w:rsidR="004774E3" w:rsidRDefault="004774E3">
      <w:pPr>
        <w:spacing w:before="306" w:line="281" w:lineRule="exact"/>
        <w:jc w:val="center"/>
        <w:textAlignment w:val="baseline"/>
        <w:rPr>
          <w:rFonts w:ascii="Arial" w:hAnsi="Arial"/>
          <w:b/>
          <w:color w:val="000000"/>
          <w:sz w:val="21"/>
          <w:szCs w:val="21"/>
        </w:rPr>
      </w:pPr>
      <w:r>
        <w:rPr>
          <w:rFonts w:ascii="Arial" w:hAnsi="Arial"/>
          <w:b/>
          <w:color w:val="000000"/>
          <w:sz w:val="21"/>
          <w:szCs w:val="21"/>
        </w:rPr>
        <w:t xml:space="preserve">                                                                                                                                        Anexa nr.1                                                                   </w:t>
      </w:r>
    </w:p>
    <w:p w14:paraId="14205616" w14:textId="77777777" w:rsidR="00A2720C" w:rsidRPr="00650597" w:rsidRDefault="00743535">
      <w:pPr>
        <w:spacing w:before="306" w:line="281" w:lineRule="exact"/>
        <w:jc w:val="center"/>
        <w:textAlignment w:val="baseline"/>
        <w:rPr>
          <w:rFonts w:ascii="Arial" w:eastAsia="Garamond" w:hAnsi="Arial" w:cs="Arial"/>
          <w:b/>
          <w:color w:val="000000"/>
          <w:sz w:val="21"/>
          <w:szCs w:val="21"/>
        </w:rPr>
      </w:pPr>
      <w:r>
        <w:rPr>
          <w:rFonts w:ascii="Arial" w:hAnsi="Arial"/>
          <w:b/>
          <w:color w:val="000000"/>
          <w:sz w:val="21"/>
          <w:szCs w:val="21"/>
        </w:rPr>
        <w:t>Modificarea textului</w:t>
      </w:r>
      <w:r w:rsidR="00F57896">
        <w:rPr>
          <w:rFonts w:ascii="Arial" w:hAnsi="Arial"/>
          <w:b/>
          <w:color w:val="000000"/>
          <w:sz w:val="21"/>
          <w:szCs w:val="21"/>
        </w:rPr>
        <w:t xml:space="preserve"> </w:t>
      </w:r>
      <w:r w:rsidR="0033141A">
        <w:rPr>
          <w:sz w:val="24"/>
          <w:szCs w:val="24"/>
        </w:rPr>
        <w:t>Convenţiei</w:t>
      </w:r>
      <w:r w:rsidR="0033141A" w:rsidRPr="00344F11">
        <w:rPr>
          <w:sz w:val="24"/>
          <w:szCs w:val="24"/>
        </w:rPr>
        <w:t xml:space="preserve"> </w:t>
      </w:r>
      <w:r w:rsidR="0033141A">
        <w:rPr>
          <w:sz w:val="24"/>
          <w:szCs w:val="24"/>
        </w:rPr>
        <w:t xml:space="preserve">privind </w:t>
      </w:r>
      <w:r w:rsidR="0033141A" w:rsidRPr="00344F11">
        <w:rPr>
          <w:sz w:val="24"/>
          <w:szCs w:val="24"/>
        </w:rPr>
        <w:t xml:space="preserve">transporturile internaţionale feroviare </w:t>
      </w:r>
      <w:r w:rsidR="0033141A">
        <w:rPr>
          <w:sz w:val="24"/>
          <w:szCs w:val="24"/>
        </w:rPr>
        <w:t>(</w:t>
      </w:r>
      <w:r w:rsidR="0033141A" w:rsidRPr="00344F11">
        <w:rPr>
          <w:sz w:val="24"/>
          <w:szCs w:val="24"/>
        </w:rPr>
        <w:t>COTIF</w:t>
      </w:r>
      <w:r w:rsidR="0033141A">
        <w:rPr>
          <w:sz w:val="24"/>
          <w:szCs w:val="24"/>
        </w:rPr>
        <w:t>)</w:t>
      </w:r>
    </w:p>
    <w:p w14:paraId="37934ABB" w14:textId="7B28E155" w:rsidR="00A2720C" w:rsidRPr="00650597" w:rsidRDefault="00743535">
      <w:pPr>
        <w:spacing w:before="218" w:line="245" w:lineRule="exact"/>
        <w:jc w:val="both"/>
        <w:textAlignment w:val="baseline"/>
        <w:rPr>
          <w:rFonts w:ascii="Arial" w:eastAsia="Garamond" w:hAnsi="Arial" w:cs="Arial"/>
          <w:color w:val="000000"/>
          <w:sz w:val="21"/>
          <w:szCs w:val="21"/>
        </w:rPr>
      </w:pPr>
      <w:r>
        <w:rPr>
          <w:rFonts w:ascii="Arial" w:hAnsi="Arial"/>
          <w:color w:val="000000"/>
          <w:sz w:val="21"/>
          <w:szCs w:val="21"/>
        </w:rPr>
        <w:t xml:space="preserve">Articolele 3 </w:t>
      </w:r>
      <w:r w:rsidR="00474BEC">
        <w:rPr>
          <w:rFonts w:ascii="Arial" w:hAnsi="Arial"/>
          <w:color w:val="000000"/>
          <w:sz w:val="21"/>
          <w:szCs w:val="21"/>
        </w:rPr>
        <w:t xml:space="preserve"> </w:t>
      </w:r>
      <w:r w:rsidR="00474BEC">
        <w:t xml:space="preserve">§ </w:t>
      </w:r>
      <w:r>
        <w:rPr>
          <w:rFonts w:ascii="Arial" w:hAnsi="Arial"/>
          <w:color w:val="000000"/>
          <w:sz w:val="21"/>
          <w:szCs w:val="21"/>
        </w:rPr>
        <w:t xml:space="preserve">2, 12 </w:t>
      </w:r>
      <w:r w:rsidR="00474BEC">
        <w:t xml:space="preserve">§ </w:t>
      </w:r>
      <w:r>
        <w:rPr>
          <w:rFonts w:ascii="Arial" w:hAnsi="Arial"/>
          <w:color w:val="000000"/>
          <w:sz w:val="21"/>
          <w:szCs w:val="21"/>
        </w:rPr>
        <w:t xml:space="preserve">5, 14 </w:t>
      </w:r>
      <w:r w:rsidR="00474BEC">
        <w:t xml:space="preserve">§ </w:t>
      </w:r>
      <w:r>
        <w:rPr>
          <w:rFonts w:ascii="Arial" w:hAnsi="Arial"/>
          <w:color w:val="000000"/>
          <w:sz w:val="21"/>
          <w:szCs w:val="21"/>
        </w:rPr>
        <w:t xml:space="preserve">2 litera (e),  14 </w:t>
      </w:r>
      <w:r w:rsidR="00474BEC">
        <w:t xml:space="preserve">§ </w:t>
      </w:r>
      <w:r>
        <w:rPr>
          <w:rFonts w:ascii="Arial" w:hAnsi="Arial"/>
          <w:color w:val="000000"/>
          <w:sz w:val="21"/>
          <w:szCs w:val="21"/>
        </w:rPr>
        <w:t xml:space="preserve">6, 15 </w:t>
      </w:r>
      <w:r w:rsidR="00474BEC">
        <w:t xml:space="preserve">§ </w:t>
      </w:r>
      <w:r>
        <w:rPr>
          <w:rFonts w:ascii="Arial" w:hAnsi="Arial"/>
          <w:color w:val="000000"/>
          <w:sz w:val="21"/>
          <w:szCs w:val="21"/>
        </w:rPr>
        <w:t xml:space="preserve">5 litera (g), 20, 24 </w:t>
      </w:r>
      <w:r w:rsidR="00474BEC">
        <w:t xml:space="preserve">§ </w:t>
      </w:r>
      <w:r>
        <w:rPr>
          <w:rFonts w:ascii="Arial" w:hAnsi="Arial"/>
          <w:color w:val="000000"/>
          <w:sz w:val="21"/>
          <w:szCs w:val="21"/>
        </w:rPr>
        <w:t xml:space="preserve">5, 25, 26 </w:t>
      </w:r>
      <w:r w:rsidR="00474BEC">
        <w:t>§</w:t>
      </w:r>
      <w:r w:rsidR="00AF6C01">
        <w:t xml:space="preserve">§ </w:t>
      </w:r>
      <w:r>
        <w:rPr>
          <w:rFonts w:ascii="Arial" w:hAnsi="Arial"/>
          <w:color w:val="000000"/>
          <w:sz w:val="21"/>
          <w:szCs w:val="21"/>
        </w:rPr>
        <w:t xml:space="preserve">57 și 33 </w:t>
      </w:r>
      <w:r w:rsidR="00474BEC">
        <w:t xml:space="preserve">§ </w:t>
      </w:r>
      <w:r>
        <w:rPr>
          <w:rFonts w:ascii="Arial" w:hAnsi="Arial"/>
          <w:color w:val="000000"/>
          <w:sz w:val="21"/>
          <w:szCs w:val="21"/>
        </w:rPr>
        <w:t>4 litera (a) din Convenția privind transportul internațional feroviar (COTIF) din 9 mai 1980 în versiunea Protocolului din 3 iunie 1999 (Protocolul de la Vilnius) și cu amendamentele adoptate de Comitetul de revizuire în cea de-a 24-a și 25-a sesiune au următorul cuprins:</w:t>
      </w:r>
    </w:p>
    <w:p w14:paraId="28A6BF60" w14:textId="77777777" w:rsidR="00A2720C" w:rsidRPr="00650597" w:rsidRDefault="00743535">
      <w:pPr>
        <w:spacing w:before="250" w:line="249" w:lineRule="exact"/>
        <w:jc w:val="center"/>
        <w:textAlignment w:val="baseline"/>
        <w:rPr>
          <w:rFonts w:ascii="Arial" w:eastAsia="Garamond" w:hAnsi="Arial" w:cs="Arial"/>
          <w:b/>
          <w:color w:val="000000"/>
          <w:sz w:val="21"/>
          <w:szCs w:val="21"/>
        </w:rPr>
      </w:pPr>
      <w:r>
        <w:rPr>
          <w:rFonts w:ascii="Arial" w:hAnsi="Arial"/>
          <w:b/>
          <w:color w:val="000000"/>
          <w:sz w:val="21"/>
          <w:szCs w:val="21"/>
        </w:rPr>
        <w:t>„Articolul 3</w:t>
      </w:r>
    </w:p>
    <w:p w14:paraId="20089EBE" w14:textId="77777777" w:rsidR="00A2720C" w:rsidRPr="00650597" w:rsidRDefault="00743535">
      <w:pPr>
        <w:spacing w:before="6" w:line="249" w:lineRule="exact"/>
        <w:jc w:val="center"/>
        <w:textAlignment w:val="baseline"/>
        <w:rPr>
          <w:rFonts w:ascii="Arial" w:eastAsia="Garamond" w:hAnsi="Arial" w:cs="Arial"/>
          <w:b/>
          <w:color w:val="000000"/>
          <w:sz w:val="21"/>
          <w:szCs w:val="21"/>
        </w:rPr>
      </w:pPr>
      <w:r>
        <w:rPr>
          <w:rFonts w:ascii="Arial" w:hAnsi="Arial"/>
          <w:b/>
          <w:color w:val="000000"/>
          <w:sz w:val="21"/>
          <w:szCs w:val="21"/>
        </w:rPr>
        <w:t>Cooperare internațională</w:t>
      </w:r>
    </w:p>
    <w:p w14:paraId="05BEA2D6" w14:textId="6A59695F" w:rsidR="00A2720C" w:rsidRPr="00650597" w:rsidRDefault="00226907" w:rsidP="008B6249">
      <w:pPr>
        <w:spacing w:before="226" w:line="247" w:lineRule="exact"/>
        <w:ind w:left="851" w:hanging="851"/>
        <w:jc w:val="both"/>
        <w:textAlignment w:val="baseline"/>
        <w:rPr>
          <w:rFonts w:ascii="Arial" w:eastAsia="Garamond" w:hAnsi="Arial" w:cs="Arial"/>
          <w:color w:val="000000"/>
          <w:sz w:val="21"/>
          <w:szCs w:val="21"/>
        </w:rPr>
      </w:pPr>
      <w:r>
        <w:t xml:space="preserve">§ </w:t>
      </w:r>
      <w:r w:rsidR="008B6249">
        <w:rPr>
          <w:rFonts w:ascii="Arial" w:hAnsi="Arial"/>
          <w:color w:val="000000"/>
          <w:sz w:val="21"/>
          <w:szCs w:val="21"/>
        </w:rPr>
        <w:t>2</w:t>
      </w:r>
      <w:r w:rsidR="008B6249">
        <w:rPr>
          <w:rFonts w:ascii="Arial" w:hAnsi="Arial"/>
          <w:color w:val="000000"/>
          <w:sz w:val="21"/>
          <w:szCs w:val="21"/>
        </w:rPr>
        <w:tab/>
        <w:t xml:space="preserve">Obligațiile care decurg din </w:t>
      </w:r>
      <w:r w:rsidR="005F09E7">
        <w:t xml:space="preserve">§ </w:t>
      </w:r>
      <w:r w:rsidR="008B6249">
        <w:rPr>
          <w:rFonts w:ascii="Arial" w:hAnsi="Arial"/>
          <w:color w:val="000000"/>
          <w:sz w:val="21"/>
          <w:szCs w:val="21"/>
        </w:rPr>
        <w:t>1 pentru statele membre, care sunt în același timp membre ale Uniunii Europene sau state părți la Acordul privind Spațiul Economic European, nu prevalează asupra obligațiilor lor care le revin în calitate de membri ai Uniunii Europene sau state părți la Acordul privind Spațiul Economic European.</w:t>
      </w:r>
    </w:p>
    <w:p w14:paraId="7D79ADFA" w14:textId="77777777" w:rsidR="00A2720C" w:rsidRPr="00650597" w:rsidRDefault="00743535">
      <w:pPr>
        <w:spacing w:before="235" w:line="249" w:lineRule="exact"/>
        <w:jc w:val="center"/>
        <w:textAlignment w:val="baseline"/>
        <w:rPr>
          <w:rFonts w:ascii="Arial" w:eastAsia="Garamond" w:hAnsi="Arial" w:cs="Arial"/>
          <w:b/>
          <w:color w:val="000000"/>
          <w:sz w:val="21"/>
          <w:szCs w:val="21"/>
        </w:rPr>
      </w:pPr>
      <w:r>
        <w:rPr>
          <w:rFonts w:ascii="Arial" w:hAnsi="Arial"/>
          <w:b/>
          <w:color w:val="000000"/>
          <w:sz w:val="21"/>
          <w:szCs w:val="21"/>
        </w:rPr>
        <w:t>Articolul 12</w:t>
      </w:r>
    </w:p>
    <w:p w14:paraId="40143F8A" w14:textId="77777777" w:rsidR="00A2720C" w:rsidRPr="00650597" w:rsidRDefault="00743535">
      <w:pPr>
        <w:spacing w:line="246" w:lineRule="exact"/>
        <w:jc w:val="center"/>
        <w:textAlignment w:val="baseline"/>
        <w:rPr>
          <w:rFonts w:ascii="Arial" w:eastAsia="Garamond" w:hAnsi="Arial" w:cs="Arial"/>
          <w:b/>
          <w:color w:val="000000"/>
          <w:sz w:val="21"/>
          <w:szCs w:val="21"/>
        </w:rPr>
      </w:pPr>
      <w:r>
        <w:rPr>
          <w:rFonts w:ascii="Arial" w:hAnsi="Arial"/>
          <w:b/>
          <w:color w:val="000000"/>
          <w:sz w:val="21"/>
          <w:szCs w:val="21"/>
        </w:rPr>
        <w:t xml:space="preserve">Executarea hotărârilor judecătorești. </w:t>
      </w:r>
      <w:r>
        <w:rPr>
          <w:rFonts w:ascii="Arial" w:hAnsi="Arial"/>
          <w:b/>
          <w:bCs/>
          <w:color w:val="000000"/>
          <w:sz w:val="21"/>
          <w:szCs w:val="21"/>
        </w:rPr>
        <w:t>Atașament</w:t>
      </w:r>
    </w:p>
    <w:p w14:paraId="63D66460" w14:textId="77777777" w:rsidR="00A2720C" w:rsidRPr="00650597" w:rsidRDefault="00226907" w:rsidP="008B6249">
      <w:pPr>
        <w:spacing w:before="226" w:line="247" w:lineRule="exact"/>
        <w:ind w:left="851" w:hanging="851"/>
        <w:jc w:val="both"/>
        <w:textAlignment w:val="baseline"/>
        <w:rPr>
          <w:rFonts w:ascii="Arial" w:eastAsia="Garamond" w:hAnsi="Arial" w:cs="Arial"/>
          <w:color w:val="000000"/>
          <w:sz w:val="21"/>
          <w:szCs w:val="21"/>
        </w:rPr>
      </w:pPr>
      <w:r>
        <w:t xml:space="preserve">§ </w:t>
      </w:r>
      <w:r w:rsidR="00743535">
        <w:rPr>
          <w:rFonts w:ascii="Arial" w:hAnsi="Arial"/>
          <w:color w:val="000000"/>
          <w:sz w:val="21"/>
          <w:szCs w:val="21"/>
        </w:rPr>
        <w:t>5</w:t>
      </w:r>
      <w:r w:rsidR="00743535">
        <w:rPr>
          <w:rFonts w:ascii="Arial" w:hAnsi="Arial"/>
          <w:color w:val="000000"/>
          <w:sz w:val="21"/>
          <w:szCs w:val="21"/>
        </w:rPr>
        <w:tab/>
        <w:t>Vehiculele feroviare pot fi confiscate numai pe un alt teritoriu decât cel al Statului membru în care deținătorul are sediul social, în baza unei hotărâri pronunțate de autoritatea judiciară a acelui stat. Termenul „deținător” înseamnă persoana sau entitatea care, în calitate de proprietar al unui vehicul sau care are dreptul să îl utilizeze, exploatează vehiculul ca mijloc de transport.</w:t>
      </w:r>
    </w:p>
    <w:p w14:paraId="32D5AF83" w14:textId="77777777" w:rsidR="00A2720C" w:rsidRPr="00650597" w:rsidRDefault="00743535">
      <w:pPr>
        <w:spacing w:before="235" w:line="242" w:lineRule="exact"/>
        <w:jc w:val="center"/>
        <w:textAlignment w:val="baseline"/>
        <w:rPr>
          <w:rFonts w:ascii="Arial" w:eastAsia="Garamond" w:hAnsi="Arial" w:cs="Arial"/>
          <w:b/>
          <w:color w:val="000000"/>
          <w:sz w:val="21"/>
          <w:szCs w:val="21"/>
        </w:rPr>
      </w:pPr>
      <w:r>
        <w:rPr>
          <w:rFonts w:ascii="Arial" w:hAnsi="Arial"/>
          <w:b/>
          <w:color w:val="000000"/>
          <w:sz w:val="21"/>
          <w:szCs w:val="21"/>
        </w:rPr>
        <w:t>Articolul 14</w:t>
      </w:r>
    </w:p>
    <w:p w14:paraId="4ABAF900" w14:textId="77777777" w:rsidR="00A2720C" w:rsidRPr="00650597" w:rsidRDefault="00743535">
      <w:pPr>
        <w:spacing w:before="3" w:line="244" w:lineRule="exact"/>
        <w:jc w:val="center"/>
        <w:textAlignment w:val="baseline"/>
        <w:rPr>
          <w:rFonts w:ascii="Arial" w:eastAsia="Garamond" w:hAnsi="Arial" w:cs="Arial"/>
          <w:b/>
          <w:color w:val="000000"/>
          <w:sz w:val="21"/>
          <w:szCs w:val="21"/>
        </w:rPr>
      </w:pPr>
      <w:r>
        <w:rPr>
          <w:rFonts w:ascii="Arial" w:hAnsi="Arial"/>
          <w:b/>
          <w:color w:val="000000"/>
          <w:sz w:val="21"/>
          <w:szCs w:val="21"/>
        </w:rPr>
        <w:t>Adunarea Generală</w:t>
      </w:r>
    </w:p>
    <w:p w14:paraId="01EF48A0" w14:textId="77777777" w:rsidR="00A2720C" w:rsidRPr="00650597" w:rsidRDefault="00226907" w:rsidP="008B6249">
      <w:pPr>
        <w:spacing w:before="231" w:line="242" w:lineRule="exact"/>
        <w:textAlignment w:val="baseline"/>
        <w:rPr>
          <w:rFonts w:ascii="Arial" w:eastAsia="Garamond" w:hAnsi="Arial" w:cs="Arial"/>
          <w:color w:val="000000"/>
          <w:sz w:val="21"/>
          <w:szCs w:val="21"/>
        </w:rPr>
      </w:pPr>
      <w:r>
        <w:t xml:space="preserve">§ </w:t>
      </w:r>
      <w:r w:rsidR="008B6249">
        <w:rPr>
          <w:rFonts w:ascii="Arial" w:hAnsi="Arial"/>
          <w:color w:val="000000"/>
          <w:sz w:val="21"/>
          <w:szCs w:val="21"/>
        </w:rPr>
        <w:t>2</w:t>
      </w:r>
    </w:p>
    <w:p w14:paraId="53C1CA83" w14:textId="77777777" w:rsidR="00A2720C" w:rsidRPr="00650597" w:rsidRDefault="00743535" w:rsidP="008B6249">
      <w:pPr>
        <w:tabs>
          <w:tab w:val="right" w:pos="8784"/>
        </w:tabs>
        <w:spacing w:before="234" w:line="244" w:lineRule="exact"/>
        <w:ind w:left="1418" w:hanging="567"/>
        <w:jc w:val="both"/>
        <w:textAlignment w:val="baseline"/>
        <w:rPr>
          <w:rFonts w:ascii="Arial" w:eastAsia="Garamond" w:hAnsi="Arial" w:cs="Arial"/>
          <w:color w:val="000000"/>
          <w:sz w:val="21"/>
          <w:szCs w:val="21"/>
        </w:rPr>
      </w:pPr>
      <w:r>
        <w:rPr>
          <w:rFonts w:ascii="Arial" w:hAnsi="Arial"/>
          <w:color w:val="000000"/>
          <w:sz w:val="21"/>
          <w:szCs w:val="21"/>
        </w:rPr>
        <w:t>e)</w:t>
      </w:r>
      <w:r>
        <w:rPr>
          <w:rFonts w:ascii="Arial" w:hAnsi="Arial"/>
          <w:color w:val="000000"/>
          <w:sz w:val="21"/>
          <w:szCs w:val="21"/>
        </w:rPr>
        <w:tab/>
        <w:t>stabilește, pentru perioade de trei ani, valoarea maximă a cheltuielilor Organizației în fiecare perioadă bugetară (articolul 25); în caz contrar, va emite directive privind limitarea acestor cheltuieli pentru o perioadă care să nu depășească trei ani;</w:t>
      </w:r>
    </w:p>
    <w:p w14:paraId="4C82D9C2" w14:textId="61A1A73F" w:rsidR="00A2720C" w:rsidRPr="00650597" w:rsidRDefault="00226907" w:rsidP="008B6249">
      <w:pPr>
        <w:spacing w:before="226" w:line="247" w:lineRule="exact"/>
        <w:ind w:left="851" w:hanging="851"/>
        <w:jc w:val="both"/>
        <w:textAlignment w:val="baseline"/>
        <w:rPr>
          <w:rFonts w:ascii="Arial" w:eastAsia="Garamond" w:hAnsi="Arial" w:cs="Arial"/>
          <w:color w:val="000000"/>
          <w:sz w:val="21"/>
          <w:szCs w:val="21"/>
        </w:rPr>
      </w:pPr>
      <w:r>
        <w:t xml:space="preserve">§ </w:t>
      </w:r>
      <w:r w:rsidR="008B6249">
        <w:rPr>
          <w:rFonts w:ascii="Arial" w:hAnsi="Arial"/>
          <w:color w:val="000000"/>
          <w:sz w:val="21"/>
          <w:szCs w:val="21"/>
        </w:rPr>
        <w:t>6</w:t>
      </w:r>
      <w:r w:rsidR="008B6249">
        <w:rPr>
          <w:rFonts w:ascii="Arial" w:hAnsi="Arial"/>
          <w:color w:val="000000"/>
          <w:sz w:val="21"/>
          <w:szCs w:val="21"/>
        </w:rPr>
        <w:tab/>
        <w:t xml:space="preserve">Adunarea Generală ia decizii cu majoritatea statelor membre reprezentate la momentul votului, cu excepția situațiilor prevăzute la </w:t>
      </w:r>
      <w:r w:rsidR="008F0047">
        <w:t xml:space="preserve">§ </w:t>
      </w:r>
      <w:r w:rsidR="008B6249">
        <w:rPr>
          <w:rFonts w:ascii="Arial" w:hAnsi="Arial"/>
          <w:color w:val="000000"/>
          <w:sz w:val="21"/>
          <w:szCs w:val="21"/>
        </w:rPr>
        <w:t xml:space="preserve">2 literele e), g), h), l) și p), precum și la articolul 34 </w:t>
      </w:r>
      <w:r w:rsidR="005540A4">
        <w:t xml:space="preserve">§ </w:t>
      </w:r>
      <w:r w:rsidR="008B6249">
        <w:rPr>
          <w:rFonts w:ascii="Arial" w:hAnsi="Arial"/>
          <w:color w:val="000000"/>
          <w:sz w:val="21"/>
          <w:szCs w:val="21"/>
        </w:rPr>
        <w:t xml:space="preserve">6, pentru care majoritatea este de două treimi.  Cu toate acestea, în cazul </w:t>
      </w:r>
      <w:r w:rsidR="005540A4">
        <w:t xml:space="preserve">§ </w:t>
      </w:r>
      <w:r w:rsidR="008B6249">
        <w:rPr>
          <w:rFonts w:ascii="Arial" w:hAnsi="Arial"/>
          <w:color w:val="000000"/>
          <w:sz w:val="21"/>
          <w:szCs w:val="21"/>
        </w:rPr>
        <w:t xml:space="preserve">2 litera (l), majoritatea este de două treimi numai în cazul propunerilor care vizează modificarea Convenției, cu excepția articolului 9 și 27 </w:t>
      </w:r>
      <w:r w:rsidR="00410757">
        <w:t>§</w:t>
      </w:r>
      <w:r w:rsidR="005540A4">
        <w:t xml:space="preserve">§ </w:t>
      </w:r>
      <w:r w:rsidR="008B6249">
        <w:rPr>
          <w:rFonts w:ascii="Arial" w:hAnsi="Arial"/>
          <w:color w:val="000000"/>
          <w:sz w:val="21"/>
          <w:szCs w:val="21"/>
        </w:rPr>
        <w:t xml:space="preserve">2 - 4 și a Protocolului la care se face referire la articolul 1 </w:t>
      </w:r>
      <w:r w:rsidR="005540A4">
        <w:t xml:space="preserve">§ </w:t>
      </w:r>
      <w:r w:rsidR="008B6249">
        <w:rPr>
          <w:rFonts w:ascii="Arial" w:hAnsi="Arial"/>
          <w:color w:val="000000"/>
          <w:sz w:val="21"/>
          <w:szCs w:val="21"/>
        </w:rPr>
        <w:t>4.</w:t>
      </w:r>
    </w:p>
    <w:p w14:paraId="52E8D3F9" w14:textId="77777777" w:rsidR="00A2720C" w:rsidRPr="00650597" w:rsidRDefault="00743535">
      <w:pPr>
        <w:spacing w:before="226" w:line="241" w:lineRule="exact"/>
        <w:jc w:val="center"/>
        <w:textAlignment w:val="baseline"/>
        <w:rPr>
          <w:rFonts w:ascii="Arial" w:eastAsia="Garamond" w:hAnsi="Arial" w:cs="Arial"/>
          <w:b/>
          <w:color w:val="000000"/>
          <w:sz w:val="21"/>
          <w:szCs w:val="21"/>
        </w:rPr>
      </w:pPr>
      <w:r>
        <w:rPr>
          <w:rFonts w:ascii="Arial" w:hAnsi="Arial"/>
          <w:b/>
          <w:color w:val="000000"/>
          <w:sz w:val="21"/>
          <w:szCs w:val="21"/>
        </w:rPr>
        <w:t>Articolul 15</w:t>
      </w:r>
    </w:p>
    <w:p w14:paraId="4918D1E5" w14:textId="77777777" w:rsidR="00A2720C" w:rsidRPr="00650597" w:rsidRDefault="00743535">
      <w:pPr>
        <w:spacing w:line="241" w:lineRule="exact"/>
        <w:jc w:val="center"/>
        <w:textAlignment w:val="baseline"/>
        <w:rPr>
          <w:rFonts w:ascii="Arial" w:eastAsia="Garamond" w:hAnsi="Arial" w:cs="Arial"/>
          <w:b/>
          <w:color w:val="000000"/>
          <w:sz w:val="21"/>
          <w:szCs w:val="21"/>
        </w:rPr>
      </w:pPr>
      <w:r>
        <w:rPr>
          <w:rFonts w:ascii="Arial" w:hAnsi="Arial"/>
          <w:b/>
          <w:color w:val="000000"/>
          <w:sz w:val="21"/>
          <w:szCs w:val="21"/>
        </w:rPr>
        <w:t>Comitetul administrativ</w:t>
      </w:r>
    </w:p>
    <w:p w14:paraId="5839213F" w14:textId="77777777" w:rsidR="00A2720C" w:rsidRPr="00650597" w:rsidRDefault="00226907" w:rsidP="008B6249">
      <w:pPr>
        <w:spacing w:before="228" w:line="242" w:lineRule="exact"/>
        <w:textAlignment w:val="baseline"/>
        <w:rPr>
          <w:rFonts w:ascii="Arial" w:eastAsia="Garamond" w:hAnsi="Arial" w:cs="Arial"/>
          <w:color w:val="000000"/>
          <w:sz w:val="21"/>
          <w:szCs w:val="21"/>
        </w:rPr>
      </w:pPr>
      <w:r>
        <w:t xml:space="preserve">§ </w:t>
      </w:r>
      <w:r w:rsidR="008B6249">
        <w:rPr>
          <w:rFonts w:ascii="Arial" w:hAnsi="Arial"/>
          <w:color w:val="000000"/>
          <w:sz w:val="21"/>
          <w:szCs w:val="21"/>
        </w:rPr>
        <w:t>5</w:t>
      </w:r>
    </w:p>
    <w:p w14:paraId="22BD4CAC" w14:textId="1199F607" w:rsidR="00A2720C" w:rsidRPr="00650597" w:rsidRDefault="00743535" w:rsidP="008B6249">
      <w:pPr>
        <w:tabs>
          <w:tab w:val="right" w:pos="8784"/>
        </w:tabs>
        <w:spacing w:before="186"/>
        <w:ind w:left="1276" w:hanging="425"/>
        <w:jc w:val="both"/>
        <w:textAlignment w:val="baseline"/>
        <w:rPr>
          <w:rFonts w:ascii="Arial" w:eastAsia="Garamond" w:hAnsi="Arial" w:cs="Arial"/>
          <w:color w:val="000000"/>
          <w:sz w:val="21"/>
          <w:szCs w:val="21"/>
        </w:rPr>
      </w:pPr>
      <w:r>
        <w:rPr>
          <w:rFonts w:ascii="Arial" w:hAnsi="Arial"/>
          <w:color w:val="000000"/>
          <w:sz w:val="21"/>
          <w:szCs w:val="21"/>
        </w:rPr>
        <w:t xml:space="preserve">g) </w:t>
      </w:r>
      <w:r w:rsidR="002D21F8">
        <w:rPr>
          <w:rFonts w:ascii="Arial" w:hAnsi="Arial"/>
          <w:color w:val="000000"/>
          <w:sz w:val="21"/>
          <w:szCs w:val="21"/>
        </w:rPr>
        <w:tab/>
      </w:r>
      <w:r>
        <w:rPr>
          <w:rFonts w:ascii="Arial" w:hAnsi="Arial"/>
          <w:color w:val="000000"/>
          <w:sz w:val="21"/>
          <w:szCs w:val="21"/>
        </w:rPr>
        <w:t xml:space="preserve">stabilește, pe baza conturilor aprobate, contribuțiile definitive datorate de statele membre în conformitate cu articolul 26 pentru anul calendaristic precedent, precum și cuantumul avansului de trezorerie datorat de statele membre în conformitate cu articolul 26 </w:t>
      </w:r>
      <w:r w:rsidR="002F5DA5">
        <w:t xml:space="preserve">§ </w:t>
      </w:r>
      <w:r>
        <w:rPr>
          <w:rFonts w:ascii="Arial" w:hAnsi="Arial"/>
          <w:color w:val="000000"/>
          <w:sz w:val="21"/>
          <w:szCs w:val="21"/>
        </w:rPr>
        <w:t>5 pentru anul în curs;</w:t>
      </w:r>
    </w:p>
    <w:p w14:paraId="533333B5" w14:textId="77777777" w:rsidR="00A2720C" w:rsidRPr="00650597" w:rsidRDefault="00A2720C">
      <w:pPr>
        <w:rPr>
          <w:rFonts w:ascii="Arial" w:hAnsi="Arial" w:cs="Arial"/>
          <w:sz w:val="21"/>
          <w:szCs w:val="21"/>
        </w:rPr>
        <w:sectPr w:rsidR="00A2720C" w:rsidRPr="00650597" w:rsidSect="00B232DB">
          <w:headerReference w:type="first" r:id="rId8"/>
          <w:pgSz w:w="11907" w:h="16839" w:code="9"/>
          <w:pgMar w:top="1440" w:right="1440" w:bottom="1440" w:left="1440" w:header="720" w:footer="720" w:gutter="0"/>
          <w:cols w:space="708"/>
        </w:sectPr>
      </w:pPr>
    </w:p>
    <w:p w14:paraId="6E537CB2" w14:textId="77777777" w:rsidR="00A2720C" w:rsidRPr="00650597" w:rsidRDefault="00743535">
      <w:pPr>
        <w:spacing w:before="293" w:line="243" w:lineRule="exact"/>
        <w:jc w:val="center"/>
        <w:textAlignment w:val="baseline"/>
        <w:rPr>
          <w:rFonts w:ascii="Arial" w:eastAsia="Times New Roman" w:hAnsi="Arial" w:cs="Arial"/>
          <w:b/>
          <w:color w:val="000000"/>
          <w:sz w:val="21"/>
          <w:szCs w:val="21"/>
        </w:rPr>
      </w:pPr>
      <w:r>
        <w:rPr>
          <w:rFonts w:ascii="Arial" w:hAnsi="Arial"/>
          <w:b/>
          <w:color w:val="000000"/>
          <w:sz w:val="21"/>
          <w:szCs w:val="21"/>
        </w:rPr>
        <w:lastRenderedPageBreak/>
        <w:t>Articolul 20</w:t>
      </w:r>
    </w:p>
    <w:p w14:paraId="13E39F9E" w14:textId="77777777" w:rsidR="00A2720C" w:rsidRPr="00650597" w:rsidRDefault="00743535">
      <w:pPr>
        <w:spacing w:before="3" w:line="243" w:lineRule="exact"/>
        <w:jc w:val="center"/>
        <w:textAlignment w:val="baseline"/>
        <w:rPr>
          <w:rFonts w:ascii="Arial" w:eastAsia="Times New Roman" w:hAnsi="Arial" w:cs="Arial"/>
          <w:b/>
          <w:color w:val="000000"/>
          <w:sz w:val="21"/>
          <w:szCs w:val="21"/>
        </w:rPr>
      </w:pPr>
      <w:r>
        <w:rPr>
          <w:rFonts w:ascii="Arial" w:hAnsi="Arial"/>
          <w:b/>
          <w:color w:val="000000"/>
          <w:sz w:val="21"/>
          <w:szCs w:val="21"/>
        </w:rPr>
        <w:t>Comitetul de Experți Tehnici</w:t>
      </w:r>
    </w:p>
    <w:p w14:paraId="1E6F3A0E" w14:textId="77777777" w:rsidR="00A2720C" w:rsidRPr="00650597" w:rsidRDefault="00226907" w:rsidP="008B6249">
      <w:pPr>
        <w:tabs>
          <w:tab w:val="right" w:pos="216"/>
          <w:tab w:val="left" w:pos="792"/>
        </w:tabs>
        <w:spacing w:before="231" w:line="245" w:lineRule="exact"/>
        <w:textAlignment w:val="baseline"/>
        <w:rPr>
          <w:rFonts w:ascii="Arial" w:eastAsia="Arial" w:hAnsi="Arial" w:cs="Arial"/>
          <w:color w:val="000000"/>
          <w:sz w:val="21"/>
          <w:szCs w:val="21"/>
        </w:rPr>
      </w:pPr>
      <w:r>
        <w:t xml:space="preserve">§ </w:t>
      </w:r>
      <w:r w:rsidR="008B6249">
        <w:rPr>
          <w:rFonts w:ascii="Arial" w:hAnsi="Arial"/>
          <w:color w:val="000000"/>
          <w:sz w:val="21"/>
          <w:szCs w:val="21"/>
        </w:rPr>
        <w:t>1</w:t>
      </w:r>
      <w:r w:rsidR="008B6249">
        <w:rPr>
          <w:rFonts w:ascii="Arial" w:hAnsi="Arial"/>
          <w:color w:val="000000"/>
          <w:sz w:val="21"/>
          <w:szCs w:val="21"/>
        </w:rPr>
        <w:tab/>
        <w:t>Comitetul de Experți Tehnici:</w:t>
      </w:r>
    </w:p>
    <w:p w14:paraId="2C12F3C5" w14:textId="77777777" w:rsidR="00A2720C" w:rsidRPr="00650597" w:rsidRDefault="00743535">
      <w:pPr>
        <w:numPr>
          <w:ilvl w:val="0"/>
          <w:numId w:val="4"/>
        </w:numPr>
        <w:tabs>
          <w:tab w:val="clear" w:pos="504"/>
          <w:tab w:val="left" w:pos="1368"/>
        </w:tabs>
        <w:spacing w:before="243" w:line="245" w:lineRule="exact"/>
        <w:ind w:left="1368" w:hanging="504"/>
        <w:jc w:val="both"/>
        <w:textAlignment w:val="baseline"/>
        <w:rPr>
          <w:rFonts w:ascii="Arial" w:eastAsia="Arial" w:hAnsi="Arial" w:cs="Arial"/>
          <w:color w:val="000000"/>
          <w:sz w:val="21"/>
          <w:szCs w:val="21"/>
        </w:rPr>
      </w:pPr>
      <w:r>
        <w:rPr>
          <w:rFonts w:ascii="Arial" w:hAnsi="Arial"/>
          <w:color w:val="000000"/>
          <w:sz w:val="21"/>
          <w:szCs w:val="21"/>
        </w:rPr>
        <w:t>ia decizii, în conformitate cu articolul 5 din Regulile uniforme APTU, despre validarea unui standard tehnic privind materialul feroviar destinat utilizării în traficul internațional; atunci când ia astfel de decizii, standardele tehnice sau anumite părți specifice ale acestor standarde pot fi fie validate, fie respinse; acestea nu pot fi modificate în niciun caz;</w:t>
      </w:r>
    </w:p>
    <w:p w14:paraId="6E1E8762" w14:textId="77777777" w:rsidR="00A2720C" w:rsidRPr="00650597" w:rsidRDefault="00743535">
      <w:pPr>
        <w:numPr>
          <w:ilvl w:val="0"/>
          <w:numId w:val="4"/>
        </w:numPr>
        <w:tabs>
          <w:tab w:val="clear" w:pos="504"/>
          <w:tab w:val="left" w:pos="1368"/>
        </w:tabs>
        <w:spacing w:before="229" w:line="245" w:lineRule="exact"/>
        <w:ind w:left="1368" w:hanging="504"/>
        <w:jc w:val="both"/>
        <w:textAlignment w:val="baseline"/>
        <w:rPr>
          <w:rFonts w:ascii="Arial" w:eastAsia="Arial" w:hAnsi="Arial" w:cs="Arial"/>
          <w:color w:val="000000"/>
          <w:sz w:val="21"/>
          <w:szCs w:val="21"/>
        </w:rPr>
      </w:pPr>
      <w:r>
        <w:rPr>
          <w:rFonts w:ascii="Arial" w:hAnsi="Arial"/>
          <w:color w:val="000000"/>
          <w:sz w:val="21"/>
          <w:szCs w:val="21"/>
        </w:rPr>
        <w:t>ia decizii, în conformitate cu articolul 6 din Regulile uniforme APTU, despre adoptarea sau modificarea unei Prescripții Tehnice Uniforme privind construirea, exploatarea, întreținerea sau privind o procedură aferentă materialului feroviar destinat utilizării în traficul internațional;</w:t>
      </w:r>
    </w:p>
    <w:p w14:paraId="243CAAFF" w14:textId="77777777" w:rsidR="00A2720C" w:rsidRPr="00650597" w:rsidRDefault="00743535">
      <w:pPr>
        <w:numPr>
          <w:ilvl w:val="0"/>
          <w:numId w:val="4"/>
        </w:numPr>
        <w:tabs>
          <w:tab w:val="clear" w:pos="504"/>
          <w:tab w:val="left" w:pos="1368"/>
        </w:tabs>
        <w:spacing w:before="235" w:line="245" w:lineRule="exact"/>
        <w:ind w:left="1368" w:hanging="504"/>
        <w:jc w:val="both"/>
        <w:textAlignment w:val="baseline"/>
        <w:rPr>
          <w:rFonts w:ascii="Arial" w:eastAsia="Arial" w:hAnsi="Arial" w:cs="Arial"/>
          <w:color w:val="000000"/>
          <w:sz w:val="21"/>
          <w:szCs w:val="21"/>
        </w:rPr>
      </w:pPr>
      <w:r>
        <w:rPr>
          <w:rFonts w:ascii="Arial" w:hAnsi="Arial"/>
          <w:color w:val="000000"/>
          <w:sz w:val="21"/>
          <w:szCs w:val="21"/>
        </w:rPr>
        <w:t>supraveghează aplicarea standardelor tehnice și a cerințelor tehnice uniforme referitoare la materialul feroviar destinat utilizării în traficul internațional și examinează dezvoltarea acestora în vederea validării sau a adoptării lor în conformitate cu procedurile prevăzute la articolele 5 și 6 din Regulile uniforme APTU;</w:t>
      </w:r>
    </w:p>
    <w:p w14:paraId="4678BDCC" w14:textId="5A8031B9" w:rsidR="00A2720C" w:rsidRPr="00650597" w:rsidRDefault="00743535">
      <w:pPr>
        <w:numPr>
          <w:ilvl w:val="0"/>
          <w:numId w:val="4"/>
        </w:numPr>
        <w:tabs>
          <w:tab w:val="clear" w:pos="504"/>
          <w:tab w:val="left" w:pos="1368"/>
        </w:tabs>
        <w:spacing w:before="230" w:line="245" w:lineRule="exact"/>
        <w:ind w:left="1368" w:hanging="504"/>
        <w:jc w:val="both"/>
        <w:textAlignment w:val="baseline"/>
        <w:rPr>
          <w:rFonts w:ascii="Arial" w:eastAsia="Arial" w:hAnsi="Arial" w:cs="Arial"/>
          <w:color w:val="000000"/>
          <w:sz w:val="21"/>
          <w:szCs w:val="21"/>
        </w:rPr>
      </w:pPr>
      <w:r>
        <w:rPr>
          <w:rFonts w:ascii="Arial" w:hAnsi="Arial"/>
          <w:color w:val="000000"/>
          <w:sz w:val="21"/>
          <w:szCs w:val="21"/>
        </w:rPr>
        <w:t xml:space="preserve">ia decizii, în conformitate cu articolul 33 </w:t>
      </w:r>
      <w:r w:rsidR="002674D4">
        <w:t xml:space="preserve">§ </w:t>
      </w:r>
      <w:r>
        <w:rPr>
          <w:rFonts w:ascii="Arial" w:hAnsi="Arial"/>
          <w:color w:val="000000"/>
          <w:sz w:val="21"/>
          <w:szCs w:val="21"/>
        </w:rPr>
        <w:t>6, cu privire la propunerile care vizează modificarea Convenției;</w:t>
      </w:r>
    </w:p>
    <w:p w14:paraId="211607B0" w14:textId="77777777" w:rsidR="00A2720C" w:rsidRPr="00650597" w:rsidRDefault="00743535">
      <w:pPr>
        <w:numPr>
          <w:ilvl w:val="0"/>
          <w:numId w:val="4"/>
        </w:numPr>
        <w:tabs>
          <w:tab w:val="clear" w:pos="504"/>
          <w:tab w:val="left" w:pos="1368"/>
        </w:tabs>
        <w:spacing w:before="233" w:line="245" w:lineRule="exact"/>
        <w:ind w:left="1368" w:hanging="504"/>
        <w:jc w:val="both"/>
        <w:textAlignment w:val="baseline"/>
        <w:rPr>
          <w:rFonts w:ascii="Arial" w:eastAsia="Arial" w:hAnsi="Arial" w:cs="Arial"/>
          <w:color w:val="000000"/>
          <w:sz w:val="21"/>
          <w:szCs w:val="21"/>
        </w:rPr>
      </w:pPr>
      <w:r>
        <w:rPr>
          <w:rFonts w:ascii="Arial" w:hAnsi="Arial"/>
          <w:color w:val="000000"/>
          <w:sz w:val="21"/>
          <w:szCs w:val="21"/>
        </w:rPr>
        <w:t>se ocupă de toate celelalte aspecte care îi sunt atribuite în conformitate cu Regulile uniforme APTU și cu Regulile uniforme ATMF.</w:t>
      </w:r>
    </w:p>
    <w:p w14:paraId="6531B6D7" w14:textId="195E2CD5" w:rsidR="00A2720C" w:rsidRPr="00650597" w:rsidRDefault="00924BE1" w:rsidP="008B6249">
      <w:pPr>
        <w:spacing w:before="226" w:line="247" w:lineRule="exact"/>
        <w:ind w:left="851" w:hanging="851"/>
        <w:jc w:val="both"/>
        <w:textAlignment w:val="baseline"/>
        <w:rPr>
          <w:rFonts w:ascii="Arial" w:eastAsia="Arial" w:hAnsi="Arial" w:cs="Arial"/>
          <w:color w:val="000000"/>
          <w:sz w:val="21"/>
          <w:szCs w:val="21"/>
        </w:rPr>
      </w:pPr>
      <w:r>
        <w:t xml:space="preserve">§ </w:t>
      </w:r>
      <w:r w:rsidR="002D21F8">
        <w:rPr>
          <w:rFonts w:ascii="Arial" w:hAnsi="Arial"/>
          <w:color w:val="000000"/>
          <w:sz w:val="21"/>
          <w:szCs w:val="21"/>
        </w:rPr>
        <w:t>2</w:t>
      </w:r>
      <w:r w:rsidR="002D21F8">
        <w:rPr>
          <w:rFonts w:ascii="Arial" w:hAnsi="Arial"/>
          <w:color w:val="000000"/>
          <w:sz w:val="21"/>
          <w:szCs w:val="21"/>
        </w:rPr>
        <w:tab/>
      </w:r>
      <w:r w:rsidR="00743535">
        <w:rPr>
          <w:rFonts w:ascii="Arial" w:hAnsi="Arial"/>
          <w:color w:val="000000"/>
          <w:sz w:val="21"/>
          <w:szCs w:val="21"/>
        </w:rPr>
        <w:t xml:space="preserve">În cadrul Comitetului de Experți Tehnici, va exista un cvorum (articolul 13 </w:t>
      </w:r>
      <w:r w:rsidR="00FD67A2">
        <w:t xml:space="preserve">§ </w:t>
      </w:r>
      <w:r w:rsidR="00743535">
        <w:rPr>
          <w:rFonts w:ascii="Arial" w:hAnsi="Arial"/>
          <w:color w:val="000000"/>
          <w:sz w:val="21"/>
          <w:szCs w:val="21"/>
        </w:rPr>
        <w:t xml:space="preserve">3) atunci când în cadrul acestui cvorum sunt reprezentate jumătate dintre statele membre, în sensul articolului 16 </w:t>
      </w:r>
      <w:r w:rsidR="00313F34">
        <w:rPr>
          <w:rFonts w:ascii="Arial" w:hAnsi="Arial"/>
          <w:color w:val="000000"/>
          <w:sz w:val="21"/>
          <w:szCs w:val="21"/>
        </w:rPr>
        <w:t xml:space="preserve"> </w:t>
      </w:r>
      <w:r w:rsidR="00313F34">
        <w:t xml:space="preserve">§ </w:t>
      </w:r>
      <w:r w:rsidR="00743535">
        <w:rPr>
          <w:rFonts w:ascii="Arial" w:hAnsi="Arial"/>
          <w:color w:val="000000"/>
          <w:sz w:val="21"/>
          <w:szCs w:val="21"/>
        </w:rPr>
        <w:t xml:space="preserve">1.Atunci când Comitetul ia decizii cu privire la dispozițiile Anexelor la Regulile uniforme APTU, Statele membre care au formulat obiecții în conformitate cu articolul 35 </w:t>
      </w:r>
      <w:r w:rsidR="00313F34">
        <w:t xml:space="preserve">§ </w:t>
      </w:r>
      <w:r w:rsidR="00743535">
        <w:rPr>
          <w:rFonts w:ascii="Arial" w:hAnsi="Arial"/>
          <w:color w:val="000000"/>
          <w:sz w:val="21"/>
          <w:szCs w:val="21"/>
        </w:rPr>
        <w:t xml:space="preserve">4 cu privire la dispozițiile în cauză sau au făcut o declarație în conformitate cu articolul 9 </w:t>
      </w:r>
      <w:r w:rsidR="00313F34">
        <w:t xml:space="preserve">§ </w:t>
      </w:r>
      <w:r w:rsidR="00743535">
        <w:rPr>
          <w:rFonts w:ascii="Arial" w:hAnsi="Arial"/>
          <w:color w:val="000000"/>
          <w:sz w:val="21"/>
          <w:szCs w:val="21"/>
        </w:rPr>
        <w:t>1 din Regulile uniforme APTU, nu au drept</w:t>
      </w:r>
      <w:r w:rsidR="006D5A46">
        <w:rPr>
          <w:rFonts w:ascii="Arial" w:hAnsi="Arial"/>
          <w:color w:val="000000"/>
          <w:sz w:val="21"/>
          <w:szCs w:val="21"/>
        </w:rPr>
        <w:t xml:space="preserve"> </w:t>
      </w:r>
      <w:r w:rsidR="00743535">
        <w:rPr>
          <w:rFonts w:ascii="Arial" w:hAnsi="Arial"/>
          <w:color w:val="000000"/>
          <w:sz w:val="21"/>
          <w:szCs w:val="21"/>
        </w:rPr>
        <w:t>de</w:t>
      </w:r>
      <w:r w:rsidR="006D5A46">
        <w:rPr>
          <w:rFonts w:ascii="Arial" w:hAnsi="Arial"/>
          <w:color w:val="000000"/>
          <w:sz w:val="21"/>
          <w:szCs w:val="21"/>
        </w:rPr>
        <w:t xml:space="preserve"> vot</w:t>
      </w:r>
      <w:r w:rsidR="00743535">
        <w:rPr>
          <w:rFonts w:ascii="Arial" w:hAnsi="Arial"/>
          <w:color w:val="000000"/>
          <w:sz w:val="21"/>
          <w:szCs w:val="21"/>
        </w:rPr>
        <w:t>.</w:t>
      </w:r>
    </w:p>
    <w:p w14:paraId="3F403005" w14:textId="77777777" w:rsidR="00A2720C" w:rsidRPr="00650597" w:rsidRDefault="00743535">
      <w:pPr>
        <w:spacing w:before="230" w:line="243" w:lineRule="exact"/>
        <w:jc w:val="center"/>
        <w:textAlignment w:val="baseline"/>
        <w:rPr>
          <w:rFonts w:ascii="Arial" w:eastAsia="Times New Roman" w:hAnsi="Arial" w:cs="Arial"/>
          <w:b/>
          <w:color w:val="000000"/>
          <w:sz w:val="21"/>
          <w:szCs w:val="21"/>
        </w:rPr>
      </w:pPr>
      <w:r>
        <w:rPr>
          <w:rFonts w:ascii="Arial" w:hAnsi="Arial"/>
          <w:b/>
          <w:color w:val="000000"/>
          <w:sz w:val="21"/>
          <w:szCs w:val="21"/>
        </w:rPr>
        <w:t>Articolul 24</w:t>
      </w:r>
    </w:p>
    <w:p w14:paraId="1C7F0876" w14:textId="77777777" w:rsidR="00A2720C" w:rsidRPr="00650597" w:rsidRDefault="00743535">
      <w:pPr>
        <w:spacing w:line="242" w:lineRule="exact"/>
        <w:jc w:val="center"/>
        <w:textAlignment w:val="baseline"/>
        <w:rPr>
          <w:rFonts w:ascii="Arial" w:eastAsia="Times New Roman" w:hAnsi="Arial" w:cs="Arial"/>
          <w:b/>
          <w:color w:val="000000"/>
          <w:sz w:val="21"/>
          <w:szCs w:val="21"/>
        </w:rPr>
      </w:pPr>
      <w:r>
        <w:rPr>
          <w:rFonts w:ascii="Arial" w:hAnsi="Arial"/>
          <w:b/>
          <w:color w:val="000000"/>
          <w:sz w:val="21"/>
          <w:szCs w:val="21"/>
        </w:rPr>
        <w:t>Listele liniilor sau a serviciilor</w:t>
      </w:r>
    </w:p>
    <w:p w14:paraId="507445C6" w14:textId="60156BCA" w:rsidR="00A2720C" w:rsidRPr="00650597" w:rsidRDefault="00924BE1" w:rsidP="008B6249">
      <w:pPr>
        <w:spacing w:before="226" w:line="247" w:lineRule="exact"/>
        <w:ind w:left="851" w:hanging="851"/>
        <w:jc w:val="both"/>
        <w:textAlignment w:val="baseline"/>
        <w:rPr>
          <w:rFonts w:ascii="Arial" w:eastAsia="Arial" w:hAnsi="Arial" w:cs="Arial"/>
          <w:color w:val="000000"/>
          <w:sz w:val="21"/>
          <w:szCs w:val="21"/>
        </w:rPr>
      </w:pPr>
      <w:r>
        <w:t xml:space="preserve">§ </w:t>
      </w:r>
      <w:r w:rsidR="00743535">
        <w:rPr>
          <w:rFonts w:ascii="Arial" w:hAnsi="Arial"/>
          <w:color w:val="000000"/>
          <w:sz w:val="21"/>
          <w:szCs w:val="21"/>
        </w:rPr>
        <w:t>5</w:t>
      </w:r>
      <w:r w:rsidR="00743535">
        <w:rPr>
          <w:rFonts w:ascii="Arial" w:hAnsi="Arial"/>
          <w:color w:val="000000"/>
          <w:sz w:val="21"/>
          <w:szCs w:val="21"/>
        </w:rPr>
        <w:tab/>
        <w:t xml:space="preserve">Serviciile de transport pe căile navigabile maritime și pe căile navigabile interioare prevăzute la </w:t>
      </w:r>
      <w:r w:rsidR="000978D8">
        <w:t xml:space="preserve">§ </w:t>
      </w:r>
      <w:r w:rsidR="00743535">
        <w:rPr>
          <w:rFonts w:ascii="Arial" w:hAnsi="Arial"/>
          <w:color w:val="000000"/>
          <w:sz w:val="21"/>
          <w:szCs w:val="21"/>
        </w:rPr>
        <w:t xml:space="preserve">1 și transportul pe liniile de cale ferată prevăzut la </w:t>
      </w:r>
      <w:r w:rsidR="000978D8">
        <w:t xml:space="preserve">§ </w:t>
      </w:r>
      <w:r w:rsidR="00743535">
        <w:rPr>
          <w:rFonts w:ascii="Arial" w:hAnsi="Arial"/>
          <w:color w:val="000000"/>
          <w:sz w:val="21"/>
          <w:szCs w:val="21"/>
        </w:rPr>
        <w:t>2 se supun prevederilor Convenției la expirarea termenului de o lună de la data notificării includerii lor de către Secretarul General. Un astfel de serviciu sau linie încetează să se supună dispozițiilor Convenției la expirarea termenului de o lună de la data notificării eliminării acestuia/acesteia de către Secretarul general, cu excepția transportului în curs, care trebuie finalizat.</w:t>
      </w:r>
    </w:p>
    <w:p w14:paraId="17A58B88" w14:textId="77777777" w:rsidR="00A2720C" w:rsidRPr="00650597" w:rsidRDefault="00A2720C">
      <w:pPr>
        <w:rPr>
          <w:rFonts w:ascii="Arial" w:hAnsi="Arial" w:cs="Arial"/>
          <w:sz w:val="21"/>
          <w:szCs w:val="21"/>
        </w:rPr>
      </w:pPr>
    </w:p>
    <w:p w14:paraId="44E6A8A3" w14:textId="77777777" w:rsidR="008B6249" w:rsidRPr="00650597" w:rsidRDefault="008B6249">
      <w:pPr>
        <w:rPr>
          <w:rFonts w:ascii="Arial" w:hAnsi="Arial" w:cs="Arial"/>
          <w:sz w:val="21"/>
          <w:szCs w:val="21"/>
        </w:rPr>
      </w:pPr>
    </w:p>
    <w:p w14:paraId="5FE052F3" w14:textId="77777777" w:rsidR="00A2720C" w:rsidRPr="00650597" w:rsidRDefault="00743535">
      <w:pPr>
        <w:spacing w:before="307" w:line="248" w:lineRule="exact"/>
        <w:jc w:val="center"/>
        <w:textAlignment w:val="baseline"/>
        <w:rPr>
          <w:rFonts w:ascii="Arial" w:eastAsia="Times New Roman" w:hAnsi="Arial" w:cs="Arial"/>
          <w:b/>
          <w:color w:val="000000"/>
          <w:sz w:val="21"/>
          <w:szCs w:val="21"/>
        </w:rPr>
      </w:pPr>
      <w:r>
        <w:rPr>
          <w:rFonts w:ascii="Arial" w:hAnsi="Arial"/>
          <w:b/>
          <w:color w:val="000000"/>
          <w:sz w:val="21"/>
          <w:szCs w:val="21"/>
        </w:rPr>
        <w:t>Articolul 25</w:t>
      </w:r>
    </w:p>
    <w:p w14:paraId="3BDB1709" w14:textId="77777777" w:rsidR="00A2720C" w:rsidRPr="00650597" w:rsidRDefault="00743535">
      <w:pPr>
        <w:spacing w:line="248" w:lineRule="exact"/>
        <w:jc w:val="center"/>
        <w:textAlignment w:val="baseline"/>
        <w:rPr>
          <w:rFonts w:ascii="Arial" w:eastAsia="Times New Roman" w:hAnsi="Arial" w:cs="Arial"/>
          <w:b/>
          <w:color w:val="000000"/>
          <w:sz w:val="21"/>
          <w:szCs w:val="21"/>
        </w:rPr>
      </w:pPr>
      <w:r>
        <w:rPr>
          <w:rFonts w:ascii="Arial" w:hAnsi="Arial"/>
          <w:b/>
          <w:color w:val="000000"/>
          <w:sz w:val="21"/>
          <w:szCs w:val="21"/>
        </w:rPr>
        <w:t>Programul de lucru. Bugetul. Conturile. Raportul anual</w:t>
      </w:r>
    </w:p>
    <w:p w14:paraId="5F0F772E" w14:textId="77777777" w:rsidR="00A2720C" w:rsidRPr="00650597" w:rsidRDefault="00743535" w:rsidP="002D21F8">
      <w:pPr>
        <w:tabs>
          <w:tab w:val="right" w:pos="216"/>
        </w:tabs>
        <w:spacing w:before="227" w:line="243" w:lineRule="exact"/>
        <w:ind w:left="851" w:hanging="851"/>
        <w:jc w:val="both"/>
        <w:textAlignment w:val="baseline"/>
        <w:rPr>
          <w:rFonts w:ascii="Arial" w:eastAsia="Verdana" w:hAnsi="Arial" w:cs="Arial"/>
          <w:color w:val="000000"/>
          <w:sz w:val="21"/>
          <w:szCs w:val="21"/>
        </w:rPr>
      </w:pPr>
      <w:r>
        <w:rPr>
          <w:rFonts w:ascii="Arial" w:hAnsi="Arial"/>
          <w:color w:val="000000"/>
          <w:sz w:val="21"/>
          <w:szCs w:val="21"/>
        </w:rPr>
        <w:tab/>
      </w:r>
      <w:r w:rsidR="00924BE1">
        <w:t xml:space="preserve">§ </w:t>
      </w:r>
      <w:r w:rsidR="002D21F8">
        <w:rPr>
          <w:rFonts w:ascii="Arial" w:hAnsi="Arial"/>
          <w:color w:val="000000"/>
          <w:sz w:val="21"/>
          <w:szCs w:val="21"/>
        </w:rPr>
        <w:t>1</w:t>
      </w:r>
      <w:r w:rsidR="002D21F8">
        <w:rPr>
          <w:rFonts w:ascii="Arial" w:hAnsi="Arial"/>
          <w:color w:val="000000"/>
          <w:sz w:val="21"/>
          <w:szCs w:val="21"/>
        </w:rPr>
        <w:tab/>
      </w:r>
      <w:r>
        <w:rPr>
          <w:rFonts w:ascii="Arial" w:hAnsi="Arial"/>
          <w:color w:val="000000"/>
          <w:sz w:val="21"/>
          <w:szCs w:val="21"/>
        </w:rPr>
        <w:t>Bugetul și conturile Organizației acoperă o perioadă de un an calendaristic. Programul de lucru acoperă o perioadă de doi ani calendaristici.</w:t>
      </w:r>
    </w:p>
    <w:p w14:paraId="6F5C016A" w14:textId="77777777" w:rsidR="00A2720C" w:rsidRPr="00650597" w:rsidRDefault="00743535" w:rsidP="002D21F8">
      <w:pPr>
        <w:tabs>
          <w:tab w:val="right" w:pos="216"/>
        </w:tabs>
        <w:spacing w:before="227" w:line="243" w:lineRule="exact"/>
        <w:ind w:left="851" w:hanging="851"/>
        <w:jc w:val="both"/>
        <w:textAlignment w:val="baseline"/>
        <w:rPr>
          <w:rFonts w:ascii="Arial" w:eastAsia="Verdana" w:hAnsi="Arial" w:cs="Arial"/>
          <w:color w:val="000000"/>
          <w:sz w:val="21"/>
          <w:szCs w:val="21"/>
        </w:rPr>
      </w:pPr>
      <w:r>
        <w:rPr>
          <w:rFonts w:ascii="Arial" w:hAnsi="Arial"/>
          <w:color w:val="000000"/>
          <w:sz w:val="21"/>
          <w:szCs w:val="21"/>
        </w:rPr>
        <w:tab/>
      </w:r>
      <w:r w:rsidR="00924BE1">
        <w:t xml:space="preserve">§ </w:t>
      </w:r>
      <w:r>
        <w:rPr>
          <w:rFonts w:ascii="Arial" w:hAnsi="Arial"/>
          <w:color w:val="000000"/>
          <w:sz w:val="21"/>
          <w:szCs w:val="21"/>
        </w:rPr>
        <w:t>2</w:t>
      </w:r>
      <w:r>
        <w:rPr>
          <w:rFonts w:ascii="Arial" w:hAnsi="Arial"/>
          <w:color w:val="000000"/>
          <w:sz w:val="21"/>
          <w:szCs w:val="21"/>
        </w:rPr>
        <w:tab/>
        <w:t>Organizația publică anual un raport de gestiune.</w:t>
      </w:r>
    </w:p>
    <w:p w14:paraId="37AF3A51" w14:textId="77777777" w:rsidR="00A2720C" w:rsidRPr="00650597" w:rsidRDefault="00743535" w:rsidP="002D21F8">
      <w:pPr>
        <w:tabs>
          <w:tab w:val="right" w:pos="216"/>
        </w:tabs>
        <w:spacing w:before="227" w:line="243" w:lineRule="exact"/>
        <w:ind w:left="851" w:hanging="851"/>
        <w:jc w:val="both"/>
        <w:textAlignment w:val="baseline"/>
        <w:rPr>
          <w:rFonts w:ascii="Arial" w:eastAsia="Verdana" w:hAnsi="Arial" w:cs="Arial"/>
          <w:color w:val="000000"/>
          <w:sz w:val="21"/>
          <w:szCs w:val="21"/>
        </w:rPr>
      </w:pPr>
      <w:r>
        <w:rPr>
          <w:rFonts w:ascii="Arial" w:hAnsi="Arial"/>
          <w:color w:val="000000"/>
          <w:sz w:val="21"/>
          <w:szCs w:val="21"/>
        </w:rPr>
        <w:lastRenderedPageBreak/>
        <w:tab/>
      </w:r>
      <w:r w:rsidR="00924BE1">
        <w:t xml:space="preserve">§ </w:t>
      </w:r>
      <w:r>
        <w:rPr>
          <w:rFonts w:ascii="Arial" w:hAnsi="Arial"/>
          <w:color w:val="000000"/>
          <w:sz w:val="21"/>
          <w:szCs w:val="21"/>
        </w:rPr>
        <w:t>3</w:t>
      </w:r>
      <w:r>
        <w:rPr>
          <w:rFonts w:ascii="Arial" w:hAnsi="Arial"/>
          <w:color w:val="000000"/>
          <w:sz w:val="21"/>
          <w:szCs w:val="21"/>
        </w:rPr>
        <w:tab/>
        <w:t>Valoarea totală a cheltuielilor Organizației va fi stabilită, pentru fiecare perioadă bugetară, de către Comitetul Administrativ la propunerea Secretarului General.</w:t>
      </w:r>
    </w:p>
    <w:p w14:paraId="585D042D" w14:textId="77777777" w:rsidR="00A2720C" w:rsidRPr="00650597" w:rsidRDefault="00743535">
      <w:pPr>
        <w:spacing w:before="237" w:line="244" w:lineRule="exact"/>
        <w:jc w:val="center"/>
        <w:textAlignment w:val="baseline"/>
        <w:rPr>
          <w:rFonts w:ascii="Arial" w:eastAsia="Times New Roman" w:hAnsi="Arial" w:cs="Arial"/>
          <w:b/>
          <w:color w:val="000000"/>
          <w:sz w:val="21"/>
          <w:szCs w:val="21"/>
        </w:rPr>
      </w:pPr>
      <w:r>
        <w:rPr>
          <w:rFonts w:ascii="Arial" w:hAnsi="Arial"/>
          <w:b/>
          <w:color w:val="000000"/>
          <w:sz w:val="21"/>
          <w:szCs w:val="21"/>
        </w:rPr>
        <w:t>Articolul 26</w:t>
      </w:r>
    </w:p>
    <w:p w14:paraId="03760885" w14:textId="77777777" w:rsidR="00A2720C" w:rsidRPr="00650597" w:rsidRDefault="00743535">
      <w:pPr>
        <w:spacing w:line="245" w:lineRule="exact"/>
        <w:jc w:val="center"/>
        <w:textAlignment w:val="baseline"/>
        <w:rPr>
          <w:rFonts w:ascii="Arial" w:eastAsia="Times New Roman" w:hAnsi="Arial" w:cs="Arial"/>
          <w:b/>
          <w:color w:val="000000"/>
          <w:sz w:val="21"/>
          <w:szCs w:val="21"/>
        </w:rPr>
      </w:pPr>
      <w:r>
        <w:rPr>
          <w:rFonts w:ascii="Arial" w:hAnsi="Arial"/>
          <w:b/>
          <w:color w:val="000000"/>
          <w:sz w:val="21"/>
          <w:szCs w:val="21"/>
        </w:rPr>
        <w:t>Finanțarea cheltuielilor</w:t>
      </w:r>
    </w:p>
    <w:p w14:paraId="62318572" w14:textId="77777777" w:rsidR="00A2720C" w:rsidRPr="00650597" w:rsidRDefault="006358FA" w:rsidP="008B6249">
      <w:pPr>
        <w:spacing w:before="226" w:line="247" w:lineRule="exact"/>
        <w:ind w:left="851" w:hanging="851"/>
        <w:jc w:val="both"/>
        <w:textAlignment w:val="baseline"/>
        <w:rPr>
          <w:rFonts w:ascii="Arial" w:eastAsia="Verdana" w:hAnsi="Arial" w:cs="Arial"/>
          <w:color w:val="000000"/>
          <w:sz w:val="21"/>
          <w:szCs w:val="21"/>
        </w:rPr>
      </w:pPr>
      <w:r>
        <w:t xml:space="preserve">§ </w:t>
      </w:r>
      <w:r w:rsidR="00743535">
        <w:rPr>
          <w:rFonts w:ascii="Arial" w:hAnsi="Arial"/>
          <w:color w:val="000000"/>
          <w:sz w:val="21"/>
          <w:szCs w:val="21"/>
        </w:rPr>
        <w:t>5</w:t>
      </w:r>
      <w:r w:rsidR="00743535">
        <w:rPr>
          <w:rFonts w:ascii="Arial" w:hAnsi="Arial"/>
          <w:color w:val="000000"/>
          <w:sz w:val="21"/>
          <w:szCs w:val="21"/>
        </w:rPr>
        <w:tab/>
        <w:t>Contribuțiile statelor membre la cheltuielile Organizației sunt datorate sub forma unui avans de trezorerie care trebuie plătit cel târziu până la data de 31 octombrie a anului inclus în buget. Avansul de trezorerie se stabilește pe baza contribuțiilor definitive pentru anul precedent.</w:t>
      </w:r>
    </w:p>
    <w:p w14:paraId="20D949EC" w14:textId="77777777" w:rsidR="00A2720C" w:rsidRPr="00650597" w:rsidRDefault="006358FA" w:rsidP="008B6249">
      <w:pPr>
        <w:spacing w:before="226" w:line="247" w:lineRule="exact"/>
        <w:ind w:left="851" w:hanging="851"/>
        <w:jc w:val="both"/>
        <w:textAlignment w:val="baseline"/>
        <w:rPr>
          <w:rFonts w:ascii="Arial" w:eastAsia="Verdana" w:hAnsi="Arial" w:cs="Arial"/>
          <w:color w:val="000000"/>
          <w:sz w:val="21"/>
          <w:szCs w:val="21"/>
        </w:rPr>
      </w:pPr>
      <w:r>
        <w:t xml:space="preserve">§ </w:t>
      </w:r>
      <w:r w:rsidR="008B6249">
        <w:rPr>
          <w:rFonts w:ascii="Arial" w:hAnsi="Arial"/>
          <w:color w:val="000000"/>
          <w:sz w:val="21"/>
          <w:szCs w:val="21"/>
        </w:rPr>
        <w:t>6</w:t>
      </w:r>
      <w:r w:rsidR="008B6249">
        <w:rPr>
          <w:rFonts w:ascii="Arial" w:hAnsi="Arial"/>
          <w:color w:val="000000"/>
          <w:sz w:val="21"/>
          <w:szCs w:val="21"/>
        </w:rPr>
        <w:tab/>
        <w:t>La transmiterea către statele membre a raportului de gestiune și a extraselor de cont, Secretarul General notifică cuantumul definitiv al contribuției pentru anul calendaristic precedent, precum și cuantumul avansului de trezorerie pentru anul calendaristic care urmează.</w:t>
      </w:r>
    </w:p>
    <w:p w14:paraId="4AF59E9A" w14:textId="30D503D8" w:rsidR="00A2720C" w:rsidRPr="00650597" w:rsidRDefault="006358FA" w:rsidP="008B6249">
      <w:pPr>
        <w:spacing w:before="226" w:line="247" w:lineRule="exact"/>
        <w:ind w:left="851" w:hanging="851"/>
        <w:jc w:val="both"/>
        <w:textAlignment w:val="baseline"/>
        <w:rPr>
          <w:rFonts w:ascii="Arial" w:eastAsia="Verdana" w:hAnsi="Arial" w:cs="Arial"/>
          <w:color w:val="000000"/>
          <w:sz w:val="21"/>
          <w:szCs w:val="21"/>
        </w:rPr>
      </w:pPr>
      <w:r>
        <w:t xml:space="preserve">§ </w:t>
      </w:r>
      <w:r w:rsidR="008B6249">
        <w:rPr>
          <w:rFonts w:ascii="Arial" w:hAnsi="Arial"/>
          <w:color w:val="000000"/>
          <w:sz w:val="21"/>
          <w:szCs w:val="21"/>
        </w:rPr>
        <w:t>7</w:t>
      </w:r>
      <w:r w:rsidR="008B6249">
        <w:rPr>
          <w:rFonts w:ascii="Arial" w:hAnsi="Arial"/>
          <w:color w:val="000000"/>
          <w:sz w:val="21"/>
          <w:szCs w:val="21"/>
        </w:rPr>
        <w:tab/>
        <w:t>După data de 31 decembrie a anului în care Secretarul General trimite notificarea în conformitate cu 6, sumele datorate pentru ultimul an calendaristic sunt purtătoare de dobândă în cuantum de 5% pe an.  În cazul în care, la doi ani de la această dată, un Stat Membru nu își plătește contribuția, dreptul său de vot este suspendat până când își îndeplinește obligația de plată.  La expirarea unei noi perioade de doi ani, Adunarea Generală va examina dacă atitudinea acestui Stat ar trebui considerată ca o denunțare tacită a Convenției și, dacă este necesar, va stabili data efectivă a acesteia.</w:t>
      </w:r>
    </w:p>
    <w:p w14:paraId="4BD258CE" w14:textId="77777777" w:rsidR="00A2720C" w:rsidRPr="00650597" w:rsidRDefault="00743535">
      <w:pPr>
        <w:spacing w:before="242" w:after="218" w:line="240" w:lineRule="exact"/>
        <w:jc w:val="center"/>
        <w:textAlignment w:val="baseline"/>
        <w:rPr>
          <w:rFonts w:ascii="Arial" w:eastAsia="Times New Roman" w:hAnsi="Arial" w:cs="Arial"/>
          <w:b/>
          <w:color w:val="000000"/>
          <w:sz w:val="21"/>
          <w:szCs w:val="21"/>
        </w:rPr>
      </w:pPr>
      <w:r>
        <w:rPr>
          <w:rFonts w:ascii="Arial" w:hAnsi="Arial"/>
          <w:b/>
          <w:color w:val="000000"/>
          <w:sz w:val="21"/>
          <w:szCs w:val="21"/>
        </w:rPr>
        <w:t>Articolul 33</w:t>
      </w:r>
      <w:r>
        <w:rPr>
          <w:rFonts w:ascii="Arial" w:hAnsi="Arial"/>
          <w:b/>
          <w:color w:val="000000"/>
          <w:sz w:val="21"/>
          <w:szCs w:val="21"/>
        </w:rPr>
        <w:cr/>
        <w:t>Competența</w:t>
      </w:r>
    </w:p>
    <w:p w14:paraId="5FA5AF06" w14:textId="77777777" w:rsidR="00A2720C" w:rsidRPr="00650597" w:rsidRDefault="006358FA">
      <w:pPr>
        <w:spacing w:after="214" w:line="237" w:lineRule="exact"/>
        <w:ind w:left="144"/>
        <w:textAlignment w:val="baseline"/>
        <w:rPr>
          <w:rFonts w:ascii="Arial" w:eastAsia="Times New Roman" w:hAnsi="Arial" w:cs="Arial"/>
          <w:b/>
          <w:color w:val="000000"/>
          <w:sz w:val="21"/>
          <w:szCs w:val="21"/>
        </w:rPr>
      </w:pPr>
      <w:r>
        <w:t xml:space="preserve">§ </w:t>
      </w:r>
      <w:r w:rsidR="008B6249">
        <w:rPr>
          <w:rFonts w:ascii="Arial" w:hAnsi="Arial"/>
          <w:color w:val="000000"/>
          <w:sz w:val="21"/>
          <w:szCs w:val="21"/>
        </w:rPr>
        <w:t>4</w:t>
      </w:r>
    </w:p>
    <w:p w14:paraId="7238715D" w14:textId="770138AD" w:rsidR="00A2720C" w:rsidRPr="00650597" w:rsidRDefault="00743535">
      <w:pPr>
        <w:tabs>
          <w:tab w:val="left" w:pos="1368"/>
        </w:tabs>
        <w:spacing w:line="237" w:lineRule="exact"/>
        <w:ind w:left="792"/>
        <w:textAlignment w:val="baseline"/>
        <w:rPr>
          <w:rFonts w:ascii="Arial" w:eastAsia="Verdana" w:hAnsi="Arial" w:cs="Arial"/>
          <w:color w:val="000000"/>
          <w:sz w:val="21"/>
          <w:szCs w:val="21"/>
        </w:rPr>
      </w:pPr>
      <w:r>
        <w:rPr>
          <w:rFonts w:ascii="Arial" w:hAnsi="Arial"/>
          <w:color w:val="000000"/>
          <w:sz w:val="21"/>
          <w:szCs w:val="21"/>
        </w:rPr>
        <w:t xml:space="preserve">a) </w:t>
      </w:r>
      <w:r>
        <w:rPr>
          <w:rFonts w:ascii="Arial" w:hAnsi="Arial"/>
          <w:color w:val="000000"/>
          <w:sz w:val="21"/>
          <w:szCs w:val="21"/>
        </w:rPr>
        <w:tab/>
        <w:t xml:space="preserve">Articolele 9 și 27 </w:t>
      </w:r>
      <w:r w:rsidR="00DB68EA">
        <w:t>§</w:t>
      </w:r>
      <w:r w:rsidR="00AF6C01">
        <w:t xml:space="preserve">§ </w:t>
      </w:r>
      <w:r>
        <w:rPr>
          <w:rFonts w:ascii="Arial" w:hAnsi="Arial"/>
          <w:color w:val="000000"/>
          <w:sz w:val="21"/>
          <w:szCs w:val="21"/>
        </w:rPr>
        <w:t>2-4;”</w:t>
      </w:r>
    </w:p>
    <w:p w14:paraId="7A61E41C" w14:textId="77777777" w:rsidR="00A2720C" w:rsidRPr="00650597" w:rsidRDefault="00A2720C">
      <w:pPr>
        <w:rPr>
          <w:rFonts w:ascii="Arial" w:hAnsi="Arial" w:cs="Arial"/>
          <w:sz w:val="21"/>
          <w:szCs w:val="21"/>
        </w:rPr>
        <w:sectPr w:rsidR="00A2720C" w:rsidRPr="00650597" w:rsidSect="00B232DB">
          <w:pgSz w:w="11907" w:h="16839" w:code="9"/>
          <w:pgMar w:top="1440" w:right="1440" w:bottom="1440" w:left="1440" w:header="720" w:footer="720" w:gutter="0"/>
          <w:cols w:space="708"/>
        </w:sectPr>
      </w:pPr>
    </w:p>
    <w:p w14:paraId="0F6959BD" w14:textId="77777777" w:rsidR="004774E3" w:rsidRDefault="004774E3">
      <w:pPr>
        <w:spacing w:before="309" w:line="247" w:lineRule="exact"/>
        <w:jc w:val="center"/>
        <w:textAlignment w:val="baseline"/>
        <w:rPr>
          <w:rFonts w:ascii="Arial" w:hAnsi="Arial"/>
          <w:b/>
          <w:color w:val="000000"/>
          <w:sz w:val="21"/>
          <w:szCs w:val="21"/>
        </w:rPr>
      </w:pPr>
      <w:r>
        <w:rPr>
          <w:rFonts w:ascii="Arial" w:hAnsi="Arial"/>
          <w:b/>
          <w:color w:val="000000"/>
          <w:sz w:val="21"/>
          <w:szCs w:val="21"/>
        </w:rPr>
        <w:lastRenderedPageBreak/>
        <w:t xml:space="preserve">                                                                                                                                        Anexa nr.3                                                                   </w:t>
      </w:r>
    </w:p>
    <w:p w14:paraId="57A47390" w14:textId="77777777" w:rsidR="00A2720C" w:rsidRPr="00650597" w:rsidRDefault="00743535">
      <w:pPr>
        <w:spacing w:before="309" w:line="247" w:lineRule="exact"/>
        <w:jc w:val="center"/>
        <w:textAlignment w:val="baseline"/>
        <w:rPr>
          <w:rFonts w:ascii="Arial" w:eastAsia="Times New Roman" w:hAnsi="Arial" w:cs="Arial"/>
          <w:b/>
          <w:color w:val="000000"/>
          <w:sz w:val="21"/>
          <w:szCs w:val="21"/>
        </w:rPr>
      </w:pPr>
      <w:r>
        <w:rPr>
          <w:rFonts w:ascii="Arial" w:hAnsi="Arial"/>
          <w:b/>
          <w:color w:val="000000"/>
          <w:sz w:val="21"/>
          <w:szCs w:val="21"/>
        </w:rPr>
        <w:t>Modificarea textului</w:t>
      </w:r>
      <w:r w:rsidR="004774E3">
        <w:rPr>
          <w:rFonts w:ascii="Arial" w:hAnsi="Arial"/>
          <w:b/>
          <w:color w:val="000000"/>
          <w:sz w:val="21"/>
          <w:szCs w:val="21"/>
        </w:rPr>
        <w:t xml:space="preserve"> </w:t>
      </w:r>
      <w:r w:rsidR="0033141A">
        <w:rPr>
          <w:rFonts w:ascii="Arial" w:hAnsi="Arial"/>
          <w:color w:val="000000"/>
          <w:sz w:val="21"/>
          <w:szCs w:val="21"/>
        </w:rPr>
        <w:t xml:space="preserve">Anexei G (ATMF UR) la </w:t>
      </w:r>
      <w:r w:rsidR="0033141A">
        <w:rPr>
          <w:sz w:val="24"/>
          <w:szCs w:val="24"/>
        </w:rPr>
        <w:t>Convenţia</w:t>
      </w:r>
      <w:r w:rsidR="0033141A" w:rsidRPr="00344F11">
        <w:rPr>
          <w:sz w:val="24"/>
          <w:szCs w:val="24"/>
        </w:rPr>
        <w:t xml:space="preserve"> </w:t>
      </w:r>
      <w:r w:rsidR="0033141A">
        <w:rPr>
          <w:sz w:val="24"/>
          <w:szCs w:val="24"/>
        </w:rPr>
        <w:t xml:space="preserve">privind </w:t>
      </w:r>
      <w:r w:rsidR="0033141A" w:rsidRPr="00344F11">
        <w:rPr>
          <w:sz w:val="24"/>
          <w:szCs w:val="24"/>
        </w:rPr>
        <w:t xml:space="preserve">transporturile internaţionale feroviare </w:t>
      </w:r>
      <w:r w:rsidR="0033141A">
        <w:rPr>
          <w:sz w:val="24"/>
          <w:szCs w:val="24"/>
        </w:rPr>
        <w:t>(</w:t>
      </w:r>
      <w:r w:rsidR="0033141A" w:rsidRPr="00344F11">
        <w:rPr>
          <w:sz w:val="24"/>
          <w:szCs w:val="24"/>
        </w:rPr>
        <w:t>COTIF</w:t>
      </w:r>
      <w:r w:rsidR="0033141A">
        <w:rPr>
          <w:sz w:val="24"/>
          <w:szCs w:val="24"/>
        </w:rPr>
        <w:t>)</w:t>
      </w:r>
    </w:p>
    <w:p w14:paraId="5AF2353A" w14:textId="77777777" w:rsidR="00A2720C" w:rsidRPr="00650597" w:rsidRDefault="00743535">
      <w:pPr>
        <w:spacing w:before="235" w:line="246" w:lineRule="exact"/>
        <w:jc w:val="both"/>
        <w:textAlignment w:val="baseline"/>
        <w:rPr>
          <w:rFonts w:ascii="Arial" w:eastAsia="Times New Roman" w:hAnsi="Arial" w:cs="Arial"/>
          <w:color w:val="000000"/>
          <w:sz w:val="21"/>
          <w:szCs w:val="21"/>
        </w:rPr>
      </w:pPr>
      <w:r>
        <w:rPr>
          <w:rFonts w:ascii="Arial" w:hAnsi="Arial"/>
          <w:color w:val="000000"/>
          <w:sz w:val="21"/>
          <w:szCs w:val="21"/>
        </w:rPr>
        <w:t>Articolele 1 și 3 din Regulile uniforme privind admiterea tehnică a materialului feroviar destinat a fi utilizat în traficul internațional (ATMF), A</w:t>
      </w:r>
      <w:r w:rsidR="006D5A46">
        <w:rPr>
          <w:rFonts w:ascii="Arial" w:hAnsi="Arial"/>
          <w:color w:val="000000"/>
          <w:sz w:val="21"/>
          <w:szCs w:val="21"/>
        </w:rPr>
        <w:t>nexa</w:t>
      </w:r>
      <w:r>
        <w:rPr>
          <w:rFonts w:ascii="Arial" w:hAnsi="Arial"/>
          <w:color w:val="000000"/>
          <w:sz w:val="21"/>
          <w:szCs w:val="21"/>
        </w:rPr>
        <w:t xml:space="preserve"> G la Convenția privind transportul internațional feroviar (COTIF) din 9 mai 1980, în versiunea Protocolului din 3 iunie 1999 (Protocolul de la Vilnius) și cu amendamentele adoptate de Comitetul de revizuire în cea de-a 24-a și 25-a sesiune, au următorul cuprins:</w:t>
      </w:r>
    </w:p>
    <w:p w14:paraId="18F0CAB7" w14:textId="77777777" w:rsidR="00A2720C" w:rsidRPr="00650597" w:rsidRDefault="00743535">
      <w:pPr>
        <w:spacing w:before="246" w:line="245" w:lineRule="exact"/>
        <w:jc w:val="center"/>
        <w:textAlignment w:val="baseline"/>
        <w:rPr>
          <w:rFonts w:ascii="Arial" w:eastAsia="Times New Roman" w:hAnsi="Arial" w:cs="Arial"/>
          <w:b/>
          <w:color w:val="000000"/>
          <w:sz w:val="21"/>
          <w:szCs w:val="21"/>
        </w:rPr>
      </w:pPr>
      <w:r>
        <w:rPr>
          <w:rFonts w:ascii="Arial" w:hAnsi="Arial"/>
          <w:b/>
          <w:color w:val="000000"/>
          <w:sz w:val="21"/>
          <w:szCs w:val="21"/>
        </w:rPr>
        <w:t>„Articolul 1 </w:t>
      </w:r>
      <w:r>
        <w:rPr>
          <w:rFonts w:ascii="Arial" w:hAnsi="Arial"/>
          <w:b/>
          <w:color w:val="000000"/>
          <w:sz w:val="21"/>
          <w:szCs w:val="21"/>
        </w:rPr>
        <w:br/>
        <w:t>Domeniul de aplicare</w:t>
      </w:r>
    </w:p>
    <w:p w14:paraId="689D7D62" w14:textId="77777777" w:rsidR="00A2720C" w:rsidRPr="00650597" w:rsidRDefault="00743535">
      <w:pPr>
        <w:spacing w:before="223" w:line="248" w:lineRule="exact"/>
        <w:jc w:val="both"/>
        <w:textAlignment w:val="baseline"/>
        <w:rPr>
          <w:rFonts w:ascii="Arial" w:eastAsia="Times New Roman" w:hAnsi="Arial" w:cs="Arial"/>
          <w:color w:val="000000"/>
          <w:sz w:val="21"/>
          <w:szCs w:val="21"/>
        </w:rPr>
      </w:pPr>
      <w:r>
        <w:rPr>
          <w:rFonts w:ascii="Arial" w:hAnsi="Arial"/>
          <w:color w:val="000000"/>
          <w:sz w:val="21"/>
          <w:szCs w:val="21"/>
        </w:rPr>
        <w:t>Pentru vehiculele feroviare, aceste Reguli uniforme stabilesc procedura de admitere în circulație sau utilizare în traficul internațional.</w:t>
      </w:r>
    </w:p>
    <w:p w14:paraId="7CE00D90" w14:textId="77777777" w:rsidR="00A2720C" w:rsidRPr="00650597" w:rsidRDefault="00743535">
      <w:pPr>
        <w:spacing w:before="229" w:line="247" w:lineRule="exact"/>
        <w:jc w:val="center"/>
        <w:textAlignment w:val="baseline"/>
        <w:rPr>
          <w:rFonts w:ascii="Arial" w:eastAsia="Times New Roman" w:hAnsi="Arial" w:cs="Arial"/>
          <w:b/>
          <w:color w:val="000000"/>
          <w:sz w:val="21"/>
          <w:szCs w:val="21"/>
        </w:rPr>
      </w:pPr>
      <w:r>
        <w:rPr>
          <w:rFonts w:ascii="Arial" w:hAnsi="Arial"/>
          <w:b/>
          <w:color w:val="000000"/>
          <w:sz w:val="21"/>
          <w:szCs w:val="21"/>
        </w:rPr>
        <w:t>Articolul 3</w:t>
      </w:r>
    </w:p>
    <w:p w14:paraId="3A753BE8" w14:textId="77777777" w:rsidR="00A2720C" w:rsidRPr="00650597" w:rsidRDefault="00743535">
      <w:pPr>
        <w:spacing w:line="247" w:lineRule="exact"/>
        <w:jc w:val="center"/>
        <w:textAlignment w:val="baseline"/>
        <w:rPr>
          <w:rFonts w:ascii="Arial" w:eastAsia="Times New Roman" w:hAnsi="Arial" w:cs="Arial"/>
          <w:b/>
          <w:color w:val="000000"/>
          <w:sz w:val="21"/>
          <w:szCs w:val="21"/>
        </w:rPr>
      </w:pPr>
      <w:r>
        <w:rPr>
          <w:rFonts w:ascii="Arial" w:hAnsi="Arial"/>
          <w:b/>
          <w:color w:val="000000"/>
          <w:sz w:val="21"/>
          <w:szCs w:val="21"/>
        </w:rPr>
        <w:t>Admiterea în traficul internațional</w:t>
      </w:r>
    </w:p>
    <w:p w14:paraId="3E881104" w14:textId="0372674F" w:rsidR="00A2720C" w:rsidRPr="00650597" w:rsidRDefault="00935E08" w:rsidP="008B6249">
      <w:pPr>
        <w:spacing w:before="226" w:line="247" w:lineRule="exact"/>
        <w:ind w:left="851" w:hanging="851"/>
        <w:jc w:val="both"/>
        <w:textAlignment w:val="baseline"/>
        <w:rPr>
          <w:rFonts w:ascii="Arial" w:eastAsia="Times New Roman" w:hAnsi="Arial" w:cs="Arial"/>
          <w:b/>
          <w:color w:val="000000"/>
          <w:sz w:val="21"/>
          <w:szCs w:val="21"/>
        </w:rPr>
      </w:pPr>
      <w:r>
        <w:t xml:space="preserve">§ </w:t>
      </w:r>
      <w:r w:rsidR="00743535">
        <w:rPr>
          <w:rFonts w:ascii="Arial" w:hAnsi="Arial"/>
          <w:color w:val="000000"/>
          <w:sz w:val="21"/>
          <w:szCs w:val="21"/>
        </w:rPr>
        <w:t>1</w:t>
      </w:r>
      <w:r w:rsidR="00743535">
        <w:rPr>
          <w:rFonts w:ascii="Arial" w:hAnsi="Arial"/>
          <w:color w:val="000000"/>
          <w:sz w:val="21"/>
          <w:szCs w:val="21"/>
        </w:rPr>
        <w:tab/>
        <w:t>Fiecare vehicul feroviar trebuie să fie admis în circulație în traficul internațional în conformitate cu prezentele Reguli uniforme.</w:t>
      </w:r>
    </w:p>
    <w:p w14:paraId="0501A936" w14:textId="18E7CD16" w:rsidR="00A2720C" w:rsidRPr="00650597" w:rsidRDefault="00935E08" w:rsidP="008B6249">
      <w:pPr>
        <w:spacing w:before="226" w:line="247" w:lineRule="exact"/>
        <w:ind w:left="851" w:hanging="851"/>
        <w:jc w:val="both"/>
        <w:textAlignment w:val="baseline"/>
        <w:rPr>
          <w:rFonts w:ascii="Arial" w:eastAsia="Times New Roman" w:hAnsi="Arial" w:cs="Arial"/>
          <w:b/>
          <w:color w:val="000000"/>
          <w:sz w:val="21"/>
          <w:szCs w:val="21"/>
        </w:rPr>
      </w:pPr>
      <w:r>
        <w:t xml:space="preserve">§ </w:t>
      </w:r>
      <w:r w:rsidR="00743535">
        <w:rPr>
          <w:rFonts w:ascii="Arial" w:hAnsi="Arial"/>
          <w:color w:val="000000"/>
          <w:sz w:val="21"/>
          <w:szCs w:val="21"/>
        </w:rPr>
        <w:t>2</w:t>
      </w:r>
      <w:r w:rsidR="00743535">
        <w:rPr>
          <w:rFonts w:ascii="Arial" w:hAnsi="Arial"/>
          <w:color w:val="000000"/>
          <w:sz w:val="21"/>
          <w:szCs w:val="21"/>
        </w:rPr>
        <w:tab/>
        <w:t>Admiterea tehnică are ca scop determinarea faptului dacă vehiculele feroviare îndeplinesc</w:t>
      </w:r>
    </w:p>
    <w:p w14:paraId="2BC53F88" w14:textId="63AA9524" w:rsidR="00A2720C" w:rsidRPr="00650597" w:rsidRDefault="00743535">
      <w:pPr>
        <w:numPr>
          <w:ilvl w:val="0"/>
          <w:numId w:val="5"/>
        </w:numPr>
        <w:tabs>
          <w:tab w:val="clear" w:pos="504"/>
          <w:tab w:val="left" w:pos="1368"/>
        </w:tabs>
        <w:spacing w:before="233" w:line="247" w:lineRule="exact"/>
        <w:ind w:left="864"/>
        <w:textAlignment w:val="baseline"/>
        <w:rPr>
          <w:rFonts w:ascii="Arial" w:eastAsia="Times New Roman" w:hAnsi="Arial" w:cs="Arial"/>
          <w:color w:val="000000"/>
          <w:sz w:val="21"/>
          <w:szCs w:val="21"/>
        </w:rPr>
      </w:pPr>
      <w:r>
        <w:rPr>
          <w:rFonts w:ascii="Arial" w:hAnsi="Arial"/>
          <w:color w:val="000000"/>
          <w:sz w:val="21"/>
          <w:szCs w:val="21"/>
        </w:rPr>
        <w:t>prescripțiile de construcție cuprinse în UTP,</w:t>
      </w:r>
    </w:p>
    <w:p w14:paraId="4922FFC0" w14:textId="22287067" w:rsidR="00A2720C" w:rsidRPr="00650597" w:rsidRDefault="00743535">
      <w:pPr>
        <w:numPr>
          <w:ilvl w:val="0"/>
          <w:numId w:val="5"/>
        </w:numPr>
        <w:tabs>
          <w:tab w:val="clear" w:pos="504"/>
          <w:tab w:val="left" w:pos="1368"/>
        </w:tabs>
        <w:spacing w:before="226" w:line="247" w:lineRule="exact"/>
        <w:ind w:left="864"/>
        <w:textAlignment w:val="baseline"/>
        <w:rPr>
          <w:rFonts w:ascii="Arial" w:eastAsia="Times New Roman" w:hAnsi="Arial" w:cs="Arial"/>
          <w:color w:val="000000"/>
          <w:sz w:val="21"/>
          <w:szCs w:val="21"/>
        </w:rPr>
      </w:pPr>
      <w:r>
        <w:rPr>
          <w:rFonts w:ascii="Arial" w:hAnsi="Arial"/>
          <w:color w:val="000000"/>
          <w:sz w:val="21"/>
          <w:szCs w:val="21"/>
        </w:rPr>
        <w:t>prescripțiile de construcție și echipamente cuprinse în RID,</w:t>
      </w:r>
    </w:p>
    <w:p w14:paraId="5EBA3D31" w14:textId="046CEF98" w:rsidR="00A2720C" w:rsidRPr="00650597" w:rsidRDefault="00743535">
      <w:pPr>
        <w:numPr>
          <w:ilvl w:val="0"/>
          <w:numId w:val="5"/>
        </w:numPr>
        <w:tabs>
          <w:tab w:val="clear" w:pos="504"/>
          <w:tab w:val="left" w:pos="1368"/>
        </w:tabs>
        <w:spacing w:before="235" w:line="247" w:lineRule="exact"/>
        <w:ind w:left="864"/>
        <w:textAlignment w:val="baseline"/>
        <w:rPr>
          <w:rFonts w:ascii="Arial" w:eastAsia="Times New Roman" w:hAnsi="Arial" w:cs="Arial"/>
          <w:color w:val="000000"/>
          <w:sz w:val="21"/>
          <w:szCs w:val="21"/>
        </w:rPr>
      </w:pPr>
      <w:r>
        <w:rPr>
          <w:rFonts w:ascii="Arial" w:hAnsi="Arial"/>
          <w:color w:val="000000"/>
          <w:sz w:val="21"/>
          <w:szCs w:val="21"/>
        </w:rPr>
        <w:t>condițiile speciale de admitere în temeiul articolului 7a.</w:t>
      </w:r>
    </w:p>
    <w:p w14:paraId="29CA75D7" w14:textId="04E8426E" w:rsidR="00A2720C" w:rsidRPr="00650597" w:rsidRDefault="00935E08" w:rsidP="002D21F8">
      <w:pPr>
        <w:spacing w:before="225" w:line="247" w:lineRule="exact"/>
        <w:ind w:left="851" w:hanging="851"/>
        <w:textAlignment w:val="baseline"/>
        <w:rPr>
          <w:rFonts w:ascii="Arial" w:eastAsia="Times New Roman" w:hAnsi="Arial" w:cs="Arial"/>
          <w:color w:val="000000"/>
          <w:sz w:val="21"/>
          <w:szCs w:val="21"/>
        </w:rPr>
      </w:pPr>
      <w:r>
        <w:t xml:space="preserve">§ </w:t>
      </w:r>
      <w:r w:rsidR="00743535">
        <w:rPr>
          <w:rFonts w:ascii="Arial" w:hAnsi="Arial"/>
          <w:color w:val="000000"/>
          <w:sz w:val="21"/>
          <w:szCs w:val="21"/>
        </w:rPr>
        <w:t>3</w:t>
      </w:r>
      <w:r w:rsidR="00743535">
        <w:rPr>
          <w:rFonts w:ascii="Arial" w:hAnsi="Arial"/>
          <w:color w:val="000000"/>
          <w:sz w:val="21"/>
          <w:szCs w:val="21"/>
        </w:rPr>
        <w:tab/>
      </w:r>
      <w:r>
        <w:t xml:space="preserve">§§ </w:t>
      </w:r>
      <w:r w:rsidR="00743535">
        <w:rPr>
          <w:rFonts w:ascii="Arial" w:hAnsi="Arial"/>
          <w:color w:val="000000"/>
          <w:sz w:val="21"/>
          <w:szCs w:val="21"/>
        </w:rPr>
        <w:t>1 și 2, precum și următoarele articole se aplică mutatis mutandis admiterii tehnice a elementelor de construcție.”</w:t>
      </w:r>
    </w:p>
    <w:p w14:paraId="5717884E" w14:textId="77777777" w:rsidR="00A2720C" w:rsidRPr="00650597" w:rsidRDefault="00A2720C">
      <w:pPr>
        <w:spacing w:before="2" w:line="242" w:lineRule="exact"/>
        <w:ind w:left="792"/>
        <w:textAlignment w:val="baseline"/>
        <w:rPr>
          <w:rFonts w:ascii="Arial" w:eastAsia="Times New Roman" w:hAnsi="Arial" w:cs="Arial"/>
          <w:color w:val="000000"/>
          <w:sz w:val="21"/>
          <w:szCs w:val="21"/>
        </w:rPr>
      </w:pPr>
    </w:p>
    <w:p w14:paraId="3CD4F1F3" w14:textId="77777777" w:rsidR="00A2720C" w:rsidRPr="00650597" w:rsidRDefault="00A2720C">
      <w:pPr>
        <w:rPr>
          <w:rFonts w:ascii="Arial" w:hAnsi="Arial" w:cs="Arial"/>
          <w:sz w:val="21"/>
          <w:szCs w:val="21"/>
        </w:rPr>
        <w:sectPr w:rsidR="00A2720C" w:rsidRPr="00650597" w:rsidSect="00B232DB">
          <w:pgSz w:w="11907" w:h="16839" w:code="9"/>
          <w:pgMar w:top="1440" w:right="1440" w:bottom="1440" w:left="1440" w:header="720" w:footer="720" w:gutter="0"/>
          <w:cols w:space="708"/>
        </w:sectPr>
      </w:pPr>
    </w:p>
    <w:p w14:paraId="5052DA68" w14:textId="58B85D07" w:rsidR="00A2720C" w:rsidRPr="00650597" w:rsidRDefault="00A2720C">
      <w:pPr>
        <w:spacing w:before="88" w:line="20" w:lineRule="exact"/>
        <w:rPr>
          <w:rFonts w:ascii="Arial" w:hAnsi="Arial" w:cs="Arial"/>
          <w:sz w:val="21"/>
          <w:szCs w:val="21"/>
        </w:rPr>
      </w:pPr>
    </w:p>
    <w:p w14:paraId="64F12684" w14:textId="77777777" w:rsidR="004774E3" w:rsidRDefault="004774E3">
      <w:pPr>
        <w:spacing w:before="318" w:line="249" w:lineRule="exact"/>
        <w:jc w:val="center"/>
        <w:textAlignment w:val="baseline"/>
        <w:rPr>
          <w:rFonts w:ascii="Arial" w:hAnsi="Arial"/>
          <w:b/>
          <w:color w:val="000000"/>
          <w:sz w:val="21"/>
          <w:szCs w:val="21"/>
        </w:rPr>
      </w:pPr>
      <w:r>
        <w:rPr>
          <w:rFonts w:ascii="Arial" w:hAnsi="Arial"/>
          <w:b/>
          <w:color w:val="000000"/>
          <w:sz w:val="21"/>
          <w:szCs w:val="21"/>
        </w:rPr>
        <w:t xml:space="preserve">                                                                                                                                        Anexa nr.4                                                                   </w:t>
      </w:r>
    </w:p>
    <w:p w14:paraId="125F81DA" w14:textId="77777777" w:rsidR="00A2720C" w:rsidRPr="00650597" w:rsidRDefault="00743535">
      <w:pPr>
        <w:spacing w:before="318" w:line="249" w:lineRule="exact"/>
        <w:jc w:val="center"/>
        <w:textAlignment w:val="baseline"/>
        <w:rPr>
          <w:rFonts w:ascii="Arial" w:eastAsia="Garamond" w:hAnsi="Arial" w:cs="Arial"/>
          <w:b/>
          <w:color w:val="000000"/>
          <w:sz w:val="21"/>
          <w:szCs w:val="21"/>
        </w:rPr>
      </w:pPr>
      <w:r>
        <w:rPr>
          <w:rFonts w:ascii="Arial" w:hAnsi="Arial"/>
          <w:b/>
          <w:color w:val="000000"/>
          <w:sz w:val="21"/>
          <w:szCs w:val="21"/>
        </w:rPr>
        <w:t>Modificarea textului</w:t>
      </w:r>
      <w:r w:rsidR="0033141A">
        <w:rPr>
          <w:rFonts w:ascii="Arial" w:hAnsi="Arial"/>
          <w:b/>
          <w:color w:val="000000"/>
          <w:sz w:val="21"/>
          <w:szCs w:val="21"/>
        </w:rPr>
        <w:t xml:space="preserve"> </w:t>
      </w:r>
      <w:r w:rsidR="0033141A">
        <w:rPr>
          <w:rFonts w:ascii="Arial" w:hAnsi="Arial"/>
          <w:color w:val="000000"/>
          <w:sz w:val="21"/>
          <w:szCs w:val="21"/>
        </w:rPr>
        <w:t xml:space="preserve">Anexei D (CUV UR) la </w:t>
      </w:r>
      <w:r w:rsidR="0033141A">
        <w:rPr>
          <w:sz w:val="24"/>
          <w:szCs w:val="24"/>
        </w:rPr>
        <w:t>Convenţia</w:t>
      </w:r>
      <w:r w:rsidR="0033141A" w:rsidRPr="00344F11">
        <w:rPr>
          <w:sz w:val="24"/>
          <w:szCs w:val="24"/>
        </w:rPr>
        <w:t xml:space="preserve"> </w:t>
      </w:r>
      <w:r w:rsidR="0033141A">
        <w:rPr>
          <w:sz w:val="24"/>
          <w:szCs w:val="24"/>
        </w:rPr>
        <w:t xml:space="preserve">privind </w:t>
      </w:r>
      <w:r w:rsidR="0033141A" w:rsidRPr="00344F11">
        <w:rPr>
          <w:sz w:val="24"/>
          <w:szCs w:val="24"/>
        </w:rPr>
        <w:t xml:space="preserve">transporturile internaţionale feroviare </w:t>
      </w:r>
      <w:r w:rsidR="0033141A">
        <w:rPr>
          <w:sz w:val="24"/>
          <w:szCs w:val="24"/>
        </w:rPr>
        <w:t>(</w:t>
      </w:r>
      <w:r w:rsidR="0033141A" w:rsidRPr="00344F11">
        <w:rPr>
          <w:sz w:val="24"/>
          <w:szCs w:val="24"/>
        </w:rPr>
        <w:t>COTIF</w:t>
      </w:r>
      <w:r w:rsidR="0033141A">
        <w:rPr>
          <w:sz w:val="24"/>
          <w:szCs w:val="24"/>
        </w:rPr>
        <w:t>)</w:t>
      </w:r>
    </w:p>
    <w:p w14:paraId="7505513F" w14:textId="77777777" w:rsidR="00A2720C" w:rsidRPr="00650597" w:rsidRDefault="00743535">
      <w:pPr>
        <w:numPr>
          <w:ilvl w:val="0"/>
          <w:numId w:val="6"/>
        </w:numPr>
        <w:spacing w:before="219" w:line="249" w:lineRule="exact"/>
        <w:ind w:left="864" w:hanging="864"/>
        <w:jc w:val="both"/>
        <w:textAlignment w:val="baseline"/>
        <w:rPr>
          <w:rFonts w:ascii="Arial" w:eastAsia="Garamond" w:hAnsi="Arial" w:cs="Arial"/>
          <w:color w:val="000000"/>
          <w:sz w:val="21"/>
          <w:szCs w:val="21"/>
        </w:rPr>
      </w:pPr>
      <w:r>
        <w:rPr>
          <w:rFonts w:ascii="Arial" w:hAnsi="Arial"/>
          <w:color w:val="000000"/>
          <w:sz w:val="21"/>
          <w:szCs w:val="21"/>
        </w:rPr>
        <w:t>După articolul 1 din Regulile uniforme privind contractele de utilizare a vehiculelor în traficul internațional feroviar (CUV), A</w:t>
      </w:r>
      <w:r w:rsidR="006D5A46">
        <w:rPr>
          <w:rFonts w:ascii="Arial" w:hAnsi="Arial"/>
          <w:color w:val="000000"/>
          <w:sz w:val="21"/>
          <w:szCs w:val="21"/>
        </w:rPr>
        <w:t>nexa</w:t>
      </w:r>
      <w:r>
        <w:rPr>
          <w:rFonts w:ascii="Arial" w:hAnsi="Arial"/>
          <w:color w:val="000000"/>
          <w:sz w:val="21"/>
          <w:szCs w:val="21"/>
        </w:rPr>
        <w:t xml:space="preserve"> D la Convenția privind transportul internațional feroviar (COTIF) din 9 mai 1980, în versiunea Protocolului din 3 iunie 1999 (Protocolul de la Vilnius) și cu amendamentul adoptat de Comitetul de revizuire în cea de-a 25-a sesiune, se inserează un nou articol 1a care are următorul cuprins:</w:t>
      </w:r>
    </w:p>
    <w:p w14:paraId="680AE1E9" w14:textId="77777777" w:rsidR="00A2720C" w:rsidRPr="00650597" w:rsidRDefault="00743535">
      <w:pPr>
        <w:spacing w:before="233" w:line="249" w:lineRule="exact"/>
        <w:jc w:val="center"/>
        <w:textAlignment w:val="baseline"/>
        <w:rPr>
          <w:rFonts w:ascii="Arial" w:eastAsia="Garamond" w:hAnsi="Arial" w:cs="Arial"/>
          <w:b/>
          <w:color w:val="000000"/>
          <w:sz w:val="21"/>
          <w:szCs w:val="21"/>
        </w:rPr>
      </w:pPr>
      <w:r>
        <w:rPr>
          <w:rFonts w:ascii="Arial" w:hAnsi="Arial"/>
          <w:b/>
          <w:color w:val="000000"/>
          <w:sz w:val="21"/>
          <w:szCs w:val="21"/>
        </w:rPr>
        <w:t>„Articolul 1a</w:t>
      </w:r>
      <w:r>
        <w:rPr>
          <w:rFonts w:ascii="Arial" w:hAnsi="Arial"/>
          <w:b/>
          <w:color w:val="000000"/>
          <w:sz w:val="21"/>
          <w:szCs w:val="21"/>
        </w:rPr>
        <w:cr/>
      </w:r>
      <w:r>
        <w:rPr>
          <w:rFonts w:ascii="Arial" w:hAnsi="Arial"/>
          <w:b/>
          <w:color w:val="000000"/>
          <w:sz w:val="21"/>
          <w:szCs w:val="21"/>
        </w:rPr>
        <w:br/>
        <w:t>Zonele guvernate</w:t>
      </w:r>
    </w:p>
    <w:p w14:paraId="04898396" w14:textId="77777777" w:rsidR="00A2720C" w:rsidRPr="00650597" w:rsidRDefault="00743535">
      <w:pPr>
        <w:spacing w:before="229" w:line="246" w:lineRule="exact"/>
        <w:jc w:val="both"/>
        <w:textAlignment w:val="baseline"/>
        <w:rPr>
          <w:rFonts w:ascii="Arial" w:eastAsia="Garamond" w:hAnsi="Arial" w:cs="Arial"/>
          <w:color w:val="000000"/>
          <w:sz w:val="21"/>
          <w:szCs w:val="21"/>
        </w:rPr>
      </w:pPr>
      <w:r>
        <w:rPr>
          <w:rFonts w:ascii="Arial" w:hAnsi="Arial"/>
          <w:color w:val="000000"/>
          <w:sz w:val="21"/>
          <w:szCs w:val="21"/>
        </w:rPr>
        <w:t>Aceste Reguli uniforme reglementează doar drepturile și obligațiile părților care decurg dintr-un contract privind utilizarea vehiculelor feroviare ca mijloc de transport în conformitate cu Regulile uniforme CIV și cu Regulile uniforme CIM. Prescripțiile de drept public aplicabile utilizării vehiculelor feroviare, în special prescripțiile referitoare la admiterea tehnică a vehiculelor, la întreținerea și siguranța lor operațională, rămân neschimbate.”</w:t>
      </w:r>
    </w:p>
    <w:p w14:paraId="2A89C019" w14:textId="77777777" w:rsidR="00A2720C" w:rsidRPr="00650597" w:rsidRDefault="00743535">
      <w:pPr>
        <w:numPr>
          <w:ilvl w:val="0"/>
          <w:numId w:val="6"/>
        </w:numPr>
        <w:spacing w:before="247" w:line="243" w:lineRule="exact"/>
        <w:ind w:left="864" w:hanging="864"/>
        <w:jc w:val="both"/>
        <w:textAlignment w:val="baseline"/>
        <w:rPr>
          <w:rFonts w:ascii="Arial" w:eastAsia="Garamond" w:hAnsi="Arial" w:cs="Arial"/>
          <w:color w:val="000000"/>
          <w:sz w:val="21"/>
          <w:szCs w:val="21"/>
        </w:rPr>
      </w:pPr>
      <w:r>
        <w:rPr>
          <w:rFonts w:ascii="Arial" w:hAnsi="Arial"/>
          <w:color w:val="000000"/>
          <w:sz w:val="21"/>
          <w:szCs w:val="21"/>
        </w:rPr>
        <w:t>Articolul 9 din Regulile uniforme privind contractele de utilizare a vehiculelor în traficul internațional feroviar (CUV), A</w:t>
      </w:r>
      <w:r w:rsidR="006D5A46">
        <w:rPr>
          <w:rFonts w:ascii="Arial" w:hAnsi="Arial"/>
          <w:color w:val="000000"/>
          <w:sz w:val="21"/>
          <w:szCs w:val="21"/>
        </w:rPr>
        <w:t>nexa</w:t>
      </w:r>
      <w:r>
        <w:rPr>
          <w:rFonts w:ascii="Arial" w:hAnsi="Arial"/>
          <w:color w:val="000000"/>
          <w:sz w:val="21"/>
          <w:szCs w:val="21"/>
        </w:rPr>
        <w:t xml:space="preserve"> D la Convenția privind transportul internațional feroviar (COTIF) din 9 mai 1980, în versiunea Protocolului din 3 iunie 1999 (Protocolul de la Vilnius) și cu amendamentul adoptat de Comitetul de revizuire în cea de-a 25-a sesiune, are următorul conținut:</w:t>
      </w:r>
    </w:p>
    <w:p w14:paraId="019B582D" w14:textId="77777777" w:rsidR="00A2720C" w:rsidRPr="00650597" w:rsidRDefault="00743535">
      <w:pPr>
        <w:spacing w:before="226" w:line="249" w:lineRule="exact"/>
        <w:jc w:val="center"/>
        <w:textAlignment w:val="baseline"/>
        <w:rPr>
          <w:rFonts w:ascii="Arial" w:eastAsia="Garamond" w:hAnsi="Arial" w:cs="Arial"/>
          <w:b/>
          <w:color w:val="000000"/>
          <w:sz w:val="21"/>
          <w:szCs w:val="21"/>
        </w:rPr>
      </w:pPr>
      <w:r>
        <w:rPr>
          <w:rFonts w:ascii="Arial" w:hAnsi="Arial"/>
          <w:b/>
          <w:color w:val="000000"/>
          <w:sz w:val="21"/>
          <w:szCs w:val="21"/>
        </w:rPr>
        <w:t>„Articolul 9</w:t>
      </w:r>
    </w:p>
    <w:p w14:paraId="3F9268B3" w14:textId="77777777" w:rsidR="00A2720C" w:rsidRPr="00650597" w:rsidRDefault="00743535">
      <w:pPr>
        <w:spacing w:before="1" w:line="249" w:lineRule="exact"/>
        <w:jc w:val="center"/>
        <w:textAlignment w:val="baseline"/>
        <w:rPr>
          <w:rFonts w:ascii="Arial" w:eastAsia="Garamond" w:hAnsi="Arial" w:cs="Arial"/>
          <w:b/>
          <w:color w:val="000000"/>
          <w:sz w:val="21"/>
          <w:szCs w:val="21"/>
        </w:rPr>
      </w:pPr>
      <w:r>
        <w:rPr>
          <w:rFonts w:ascii="Arial" w:hAnsi="Arial"/>
          <w:b/>
          <w:color w:val="000000"/>
          <w:sz w:val="21"/>
          <w:szCs w:val="21"/>
        </w:rPr>
        <w:t>Răspunderea funcționarilor și altor persoane</w:t>
      </w:r>
    </w:p>
    <w:p w14:paraId="6EC77743" w14:textId="5961B984" w:rsidR="00A2720C" w:rsidRPr="00650597" w:rsidRDefault="00743535" w:rsidP="00650597">
      <w:pPr>
        <w:tabs>
          <w:tab w:val="right" w:pos="216"/>
          <w:tab w:val="left" w:pos="792"/>
        </w:tabs>
        <w:spacing w:before="229" w:line="246" w:lineRule="exact"/>
        <w:ind w:left="851" w:hanging="851"/>
        <w:jc w:val="both"/>
        <w:textAlignment w:val="baseline"/>
        <w:rPr>
          <w:rFonts w:ascii="Arial" w:eastAsia="Garamond" w:hAnsi="Arial" w:cs="Arial"/>
          <w:color w:val="000000"/>
          <w:sz w:val="21"/>
          <w:szCs w:val="21"/>
        </w:rPr>
      </w:pPr>
      <w:r>
        <w:rPr>
          <w:rFonts w:ascii="Arial" w:hAnsi="Arial"/>
          <w:color w:val="000000"/>
          <w:sz w:val="21"/>
          <w:szCs w:val="21"/>
        </w:rPr>
        <w:tab/>
      </w:r>
      <w:r w:rsidR="00CB036C">
        <w:t xml:space="preserve">§ </w:t>
      </w:r>
      <w:r>
        <w:rPr>
          <w:rFonts w:ascii="Arial" w:hAnsi="Arial"/>
          <w:color w:val="000000"/>
          <w:sz w:val="21"/>
          <w:szCs w:val="21"/>
        </w:rPr>
        <w:t>1</w:t>
      </w:r>
      <w:r>
        <w:rPr>
          <w:rFonts w:ascii="Arial" w:hAnsi="Arial"/>
          <w:color w:val="000000"/>
          <w:sz w:val="21"/>
          <w:szCs w:val="21"/>
        </w:rPr>
        <w:tab/>
        <w:t>Părțile contractante sunt răspunzătoare de funcționarii lor și alte persoane ale căror servicii le utilizează pentru executarea contractului, atunci când acești funcționari și alte persoane acționează în limitele atribuțiilor lor.</w:t>
      </w:r>
    </w:p>
    <w:p w14:paraId="753741A5" w14:textId="283AFB6B" w:rsidR="00A2720C" w:rsidRPr="00650597" w:rsidRDefault="00743535" w:rsidP="00650597">
      <w:pPr>
        <w:tabs>
          <w:tab w:val="right" w:pos="216"/>
          <w:tab w:val="left" w:pos="792"/>
        </w:tabs>
        <w:spacing w:before="229" w:line="246" w:lineRule="exact"/>
        <w:ind w:left="851" w:hanging="851"/>
        <w:jc w:val="both"/>
        <w:textAlignment w:val="baseline"/>
        <w:rPr>
          <w:rFonts w:ascii="Arial" w:eastAsia="Garamond" w:hAnsi="Arial" w:cs="Arial"/>
          <w:color w:val="000000"/>
          <w:sz w:val="21"/>
          <w:szCs w:val="21"/>
        </w:rPr>
      </w:pPr>
      <w:r>
        <w:rPr>
          <w:rFonts w:ascii="Arial" w:hAnsi="Arial"/>
          <w:color w:val="000000"/>
          <w:sz w:val="21"/>
          <w:szCs w:val="21"/>
        </w:rPr>
        <w:tab/>
      </w:r>
      <w:r w:rsidR="00CB036C">
        <w:t xml:space="preserve">§ </w:t>
      </w:r>
      <w:r>
        <w:rPr>
          <w:rFonts w:ascii="Arial" w:hAnsi="Arial"/>
          <w:color w:val="000000"/>
          <w:sz w:val="21"/>
          <w:szCs w:val="21"/>
        </w:rPr>
        <w:t>2</w:t>
      </w:r>
      <w:r>
        <w:rPr>
          <w:rFonts w:ascii="Arial" w:hAnsi="Arial"/>
          <w:color w:val="000000"/>
          <w:sz w:val="21"/>
          <w:szCs w:val="21"/>
        </w:rPr>
        <w:tab/>
        <w:t>Cu excepția cazului în care părțile contractante convin altfel, administratorii infrastructurii pe care operatorii de transport feroviar utilizează vehiculul ca mijloc de transport sunt considerați persoane de ale căror servicii se folosește operatorul de transport feroviar.</w:t>
      </w:r>
    </w:p>
    <w:p w14:paraId="63DE3DF7" w14:textId="5D4939EB" w:rsidR="00A2720C" w:rsidRPr="00650597" w:rsidRDefault="00743535" w:rsidP="00650597">
      <w:pPr>
        <w:tabs>
          <w:tab w:val="right" w:pos="216"/>
          <w:tab w:val="left" w:pos="792"/>
        </w:tabs>
        <w:spacing w:before="229" w:line="246" w:lineRule="exact"/>
        <w:ind w:left="851" w:hanging="851"/>
        <w:jc w:val="both"/>
        <w:textAlignment w:val="baseline"/>
        <w:rPr>
          <w:rFonts w:ascii="Arial" w:eastAsia="Garamond" w:hAnsi="Arial" w:cs="Arial"/>
          <w:color w:val="000000"/>
          <w:sz w:val="21"/>
          <w:szCs w:val="21"/>
        </w:rPr>
      </w:pPr>
      <w:r>
        <w:rPr>
          <w:rFonts w:ascii="Arial" w:hAnsi="Arial"/>
          <w:color w:val="000000"/>
          <w:sz w:val="21"/>
          <w:szCs w:val="21"/>
        </w:rPr>
        <w:tab/>
      </w:r>
      <w:r w:rsidR="00CB036C">
        <w:t xml:space="preserve">§ </w:t>
      </w:r>
      <w:r>
        <w:rPr>
          <w:rFonts w:ascii="Arial" w:hAnsi="Arial"/>
          <w:color w:val="000000"/>
          <w:sz w:val="21"/>
          <w:szCs w:val="21"/>
        </w:rPr>
        <w:t>3</w:t>
      </w:r>
      <w:r>
        <w:rPr>
          <w:rFonts w:ascii="Arial" w:hAnsi="Arial"/>
          <w:color w:val="000000"/>
          <w:sz w:val="21"/>
          <w:szCs w:val="21"/>
        </w:rPr>
        <w:tab/>
        <w:t xml:space="preserve">Entitatea responsabilă pentru întreținere (ECM), așa cum este definită la articolul 15 </w:t>
      </w:r>
      <w:r w:rsidR="00CB036C">
        <w:t xml:space="preserve">§ </w:t>
      </w:r>
      <w:r>
        <w:rPr>
          <w:rFonts w:ascii="Arial" w:hAnsi="Arial"/>
          <w:color w:val="000000"/>
          <w:sz w:val="21"/>
          <w:szCs w:val="21"/>
        </w:rPr>
        <w:t>2 din Regulile uniforme ATMF, este considerată o persoană de ale cărei servicii se folosește deținătorul.</w:t>
      </w:r>
    </w:p>
    <w:p w14:paraId="5FFC23A4" w14:textId="5D3FE2E8" w:rsidR="00A2720C" w:rsidRPr="00650597" w:rsidRDefault="00743535" w:rsidP="00650597">
      <w:pPr>
        <w:spacing w:before="231" w:line="243" w:lineRule="exact"/>
        <w:ind w:left="792"/>
        <w:jc w:val="both"/>
        <w:textAlignment w:val="baseline"/>
        <w:rPr>
          <w:rFonts w:ascii="Arial" w:eastAsia="Garamond" w:hAnsi="Arial" w:cs="Arial"/>
          <w:color w:val="000000"/>
          <w:sz w:val="21"/>
          <w:szCs w:val="21"/>
        </w:rPr>
      </w:pPr>
      <w:r>
        <w:rPr>
          <w:rFonts w:ascii="Arial" w:hAnsi="Arial"/>
          <w:color w:val="000000"/>
          <w:sz w:val="21"/>
          <w:szCs w:val="21"/>
        </w:rPr>
        <w:t xml:space="preserve">Contractul definit la articolul 1 va conține dispozițiile relevante pentru a asigura schimbul de informații, astfel cum este definit la articolul 15 </w:t>
      </w:r>
      <w:r w:rsidR="00CB036C">
        <w:t xml:space="preserve">§ </w:t>
      </w:r>
      <w:r>
        <w:rPr>
          <w:rFonts w:ascii="Arial" w:hAnsi="Arial"/>
          <w:color w:val="000000"/>
          <w:sz w:val="21"/>
          <w:szCs w:val="21"/>
        </w:rPr>
        <w:t>3 din Regulile uniforme ATMF, între ECM și operatorul de transport feroviar.</w:t>
      </w:r>
    </w:p>
    <w:p w14:paraId="66F02E88" w14:textId="76F0C5C1" w:rsidR="00A2720C" w:rsidRPr="00650597" w:rsidRDefault="00743535" w:rsidP="00650597">
      <w:pPr>
        <w:tabs>
          <w:tab w:val="right" w:pos="216"/>
          <w:tab w:val="left" w:pos="792"/>
        </w:tabs>
        <w:spacing w:before="229" w:line="246" w:lineRule="exact"/>
        <w:ind w:left="851" w:hanging="851"/>
        <w:jc w:val="both"/>
        <w:textAlignment w:val="baseline"/>
        <w:rPr>
          <w:rFonts w:ascii="Arial" w:eastAsia="Garamond" w:hAnsi="Arial" w:cs="Arial"/>
          <w:color w:val="000000"/>
          <w:sz w:val="21"/>
          <w:szCs w:val="21"/>
        </w:rPr>
      </w:pPr>
      <w:r>
        <w:rPr>
          <w:rFonts w:ascii="Arial" w:hAnsi="Arial"/>
          <w:color w:val="000000"/>
          <w:sz w:val="21"/>
          <w:szCs w:val="21"/>
        </w:rPr>
        <w:tab/>
      </w:r>
      <w:r w:rsidR="00CB036C">
        <w:t xml:space="preserve">§ </w:t>
      </w:r>
      <w:r>
        <w:rPr>
          <w:rFonts w:ascii="Arial" w:hAnsi="Arial"/>
          <w:color w:val="000000"/>
          <w:sz w:val="21"/>
          <w:szCs w:val="21"/>
        </w:rPr>
        <w:t>4</w:t>
      </w:r>
      <w:r>
        <w:rPr>
          <w:rFonts w:ascii="Arial" w:hAnsi="Arial"/>
          <w:color w:val="000000"/>
          <w:sz w:val="21"/>
          <w:szCs w:val="21"/>
        </w:rPr>
        <w:tab/>
      </w:r>
      <w:r w:rsidR="00CB036C">
        <w:t xml:space="preserve">§ § </w:t>
      </w:r>
      <w:r>
        <w:rPr>
          <w:rFonts w:ascii="Arial" w:hAnsi="Arial"/>
          <w:color w:val="000000"/>
          <w:sz w:val="21"/>
          <w:szCs w:val="21"/>
        </w:rPr>
        <w:t>1, 2 și 3 se aplică și în cazul subrogării în conformitate cu articolul 8.”</w:t>
      </w:r>
    </w:p>
    <w:sectPr w:rsidR="00A2720C" w:rsidRPr="00650597" w:rsidSect="00B232DB">
      <w:pgSz w:w="11907" w:h="16839" w:code="9"/>
      <w:pgMar w:top="1440" w:right="1440" w:bottom="1440" w:left="1440" w:header="720" w:footer="720"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748AC6" w14:textId="77777777" w:rsidR="00F67F79" w:rsidRDefault="00F67F79" w:rsidP="00B232DB">
      <w:r>
        <w:separator/>
      </w:r>
    </w:p>
  </w:endnote>
  <w:endnote w:type="continuationSeparator" w:id="0">
    <w:p w14:paraId="300E2CA9" w14:textId="77777777" w:rsidR="00F67F79" w:rsidRDefault="00F67F79" w:rsidP="00B232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ntTable1.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 w:name="Garamond">
    <w:charset w:val="00"/>
    <w:pitch w:val="variable"/>
    <w:family w:val="roman"/>
    <w:panose1 w:val="02020603050405020304"/>
  </w:font>
  <w:font w:name="Lucida Console">
    <w:charset w:val="00"/>
    <w:pitch w:val="fixed"/>
    <w:family w:val="auto"/>
    <w:panose1 w:val="02020603050405020304"/>
  </w:font>
  <w:font w:name="Times New Roman">
    <w:charset w:val="00"/>
    <w:pitch w:val="variable"/>
    <w:family w:val="swiss"/>
    <w:panose1 w:val="02020603050405020304"/>
  </w:font>
  <w:font w:name="Verdana">
    <w:charset w:val="00"/>
    <w:pitch w:val="variable"/>
    <w:family w:val="swiss"/>
    <w:panose1 w:val="020206030504050203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9E1576" w14:textId="77777777" w:rsidR="00F67F79" w:rsidRDefault="00F67F79" w:rsidP="00B232DB">
      <w:r>
        <w:separator/>
      </w:r>
    </w:p>
  </w:footnote>
  <w:footnote w:type="continuationSeparator" w:id="0">
    <w:p w14:paraId="1AC470D0" w14:textId="77777777" w:rsidR="00F67F79" w:rsidRDefault="00F67F79" w:rsidP="00B232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34AB85" w14:textId="77777777" w:rsidR="00B232DB" w:rsidRPr="00B232DB" w:rsidRDefault="002A5032" w:rsidP="00B232DB">
    <w:pPr>
      <w:pStyle w:val="Header"/>
      <w:jc w:val="center"/>
      <w:rPr>
        <w:rFonts w:ascii="Arial" w:hAnsi="Arial" w:cs="Arial"/>
      </w:rPr>
    </w:pPr>
    <w:r w:rsidRPr="00B232DB">
      <w:rPr>
        <w:rFonts w:ascii="Arial" w:hAnsi="Arial" w:cs="Arial"/>
      </w:rPr>
      <w:fldChar w:fldCharType="begin"/>
    </w:r>
    <w:r w:rsidR="00B232DB" w:rsidRPr="00B232DB">
      <w:rPr>
        <w:rFonts w:ascii="Arial" w:hAnsi="Arial" w:cs="Arial"/>
      </w:rPr>
      <w:instrText xml:space="preserve"> PAGE   \* MERGEFORMAT </w:instrText>
    </w:r>
    <w:r w:rsidRPr="00B232DB">
      <w:rPr>
        <w:rFonts w:ascii="Arial" w:hAnsi="Arial" w:cs="Arial"/>
      </w:rPr>
      <w:fldChar w:fldCharType="separate"/>
    </w:r>
    <w:r w:rsidR="00B232DB">
      <w:rPr>
        <w:rFonts w:ascii="Arial" w:hAnsi="Arial" w:cs="Arial"/>
      </w:rPr>
      <w:t>2</w:t>
    </w:r>
    <w:r w:rsidRPr="00B232DB">
      <w:rPr>
        <w:rFonts w:ascii="Arial" w:hAnsi="Arial" w:cs="Arial"/>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5F2760"/>
    <w:multiLevelType w:val="multilevel"/>
    <w:tmpl w:val="78C212A0"/>
    <w:lvl w:ilvl="0">
      <w:start w:val="1"/>
      <w:numFmt w:val="decimal"/>
      <w:lvlText w:val="%1."/>
      <w:lvlJc w:val="left"/>
      <w:pPr>
        <w:tabs>
          <w:tab w:val="left" w:pos="864"/>
        </w:tabs>
      </w:pPr>
      <w:rPr>
        <w:rFonts w:ascii="Garamond" w:eastAsia="Garamond" w:hAnsi="Garamond"/>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DD27CAE"/>
    <w:multiLevelType w:val="multilevel"/>
    <w:tmpl w:val="29B80210"/>
    <w:lvl w:ilvl="0">
      <w:start w:val="1"/>
      <w:numFmt w:val="decimal"/>
      <w:lvlText w:val="%1."/>
      <w:lvlJc w:val="left"/>
      <w:pPr>
        <w:tabs>
          <w:tab w:val="left" w:pos="216"/>
        </w:tabs>
      </w:pPr>
      <w:rPr>
        <w:rFonts w:ascii="Times New Roman" w:eastAsia="Times New Roman" w:hAnsi="Times New Roman"/>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25B166F"/>
    <w:multiLevelType w:val="hybridMultilevel"/>
    <w:tmpl w:val="714E15CC"/>
    <w:lvl w:ilvl="0" w:tplc="01C687A0">
      <w:start w:val="3"/>
      <w:numFmt w:val="bullet"/>
      <w:lvlText w:val="-"/>
      <w:lvlJc w:val="left"/>
      <w:pPr>
        <w:ind w:left="432" w:hanging="360"/>
      </w:pPr>
      <w:rPr>
        <w:rFonts w:ascii="Arial" w:eastAsia="PMingLiU" w:hAnsi="Arial" w:cs="Arial" w:hint="default"/>
      </w:rPr>
    </w:lvl>
    <w:lvl w:ilvl="1" w:tplc="04180003" w:tentative="1">
      <w:start w:val="1"/>
      <w:numFmt w:val="bullet"/>
      <w:lvlText w:val="o"/>
      <w:lvlJc w:val="left"/>
      <w:pPr>
        <w:ind w:left="1152" w:hanging="360"/>
      </w:pPr>
      <w:rPr>
        <w:rFonts w:ascii="Courier New" w:hAnsi="Courier New" w:cs="Courier New" w:hint="default"/>
      </w:rPr>
    </w:lvl>
    <w:lvl w:ilvl="2" w:tplc="04180005" w:tentative="1">
      <w:start w:val="1"/>
      <w:numFmt w:val="bullet"/>
      <w:lvlText w:val=""/>
      <w:lvlJc w:val="left"/>
      <w:pPr>
        <w:ind w:left="1872" w:hanging="360"/>
      </w:pPr>
      <w:rPr>
        <w:rFonts w:ascii="Wingdings" w:hAnsi="Wingdings" w:hint="default"/>
      </w:rPr>
    </w:lvl>
    <w:lvl w:ilvl="3" w:tplc="04180001" w:tentative="1">
      <w:start w:val="1"/>
      <w:numFmt w:val="bullet"/>
      <w:lvlText w:val=""/>
      <w:lvlJc w:val="left"/>
      <w:pPr>
        <w:ind w:left="2592" w:hanging="360"/>
      </w:pPr>
      <w:rPr>
        <w:rFonts w:ascii="Symbol" w:hAnsi="Symbol" w:hint="default"/>
      </w:rPr>
    </w:lvl>
    <w:lvl w:ilvl="4" w:tplc="04180003" w:tentative="1">
      <w:start w:val="1"/>
      <w:numFmt w:val="bullet"/>
      <w:lvlText w:val="o"/>
      <w:lvlJc w:val="left"/>
      <w:pPr>
        <w:ind w:left="3312" w:hanging="360"/>
      </w:pPr>
      <w:rPr>
        <w:rFonts w:ascii="Courier New" w:hAnsi="Courier New" w:cs="Courier New" w:hint="default"/>
      </w:rPr>
    </w:lvl>
    <w:lvl w:ilvl="5" w:tplc="04180005" w:tentative="1">
      <w:start w:val="1"/>
      <w:numFmt w:val="bullet"/>
      <w:lvlText w:val=""/>
      <w:lvlJc w:val="left"/>
      <w:pPr>
        <w:ind w:left="4032" w:hanging="360"/>
      </w:pPr>
      <w:rPr>
        <w:rFonts w:ascii="Wingdings" w:hAnsi="Wingdings" w:hint="default"/>
      </w:rPr>
    </w:lvl>
    <w:lvl w:ilvl="6" w:tplc="04180001" w:tentative="1">
      <w:start w:val="1"/>
      <w:numFmt w:val="bullet"/>
      <w:lvlText w:val=""/>
      <w:lvlJc w:val="left"/>
      <w:pPr>
        <w:ind w:left="4752" w:hanging="360"/>
      </w:pPr>
      <w:rPr>
        <w:rFonts w:ascii="Symbol" w:hAnsi="Symbol" w:hint="default"/>
      </w:rPr>
    </w:lvl>
    <w:lvl w:ilvl="7" w:tplc="04180003" w:tentative="1">
      <w:start w:val="1"/>
      <w:numFmt w:val="bullet"/>
      <w:lvlText w:val="o"/>
      <w:lvlJc w:val="left"/>
      <w:pPr>
        <w:ind w:left="5472" w:hanging="360"/>
      </w:pPr>
      <w:rPr>
        <w:rFonts w:ascii="Courier New" w:hAnsi="Courier New" w:cs="Courier New" w:hint="default"/>
      </w:rPr>
    </w:lvl>
    <w:lvl w:ilvl="8" w:tplc="04180005" w:tentative="1">
      <w:start w:val="1"/>
      <w:numFmt w:val="bullet"/>
      <w:lvlText w:val=""/>
      <w:lvlJc w:val="left"/>
      <w:pPr>
        <w:ind w:left="6192" w:hanging="360"/>
      </w:pPr>
      <w:rPr>
        <w:rFonts w:ascii="Wingdings" w:hAnsi="Wingdings" w:hint="default"/>
      </w:rPr>
    </w:lvl>
  </w:abstractNum>
  <w:abstractNum w:abstractNumId="3" w15:restartNumberingAfterBreak="0">
    <w:nsid w:val="347073A5"/>
    <w:multiLevelType w:val="multilevel"/>
    <w:tmpl w:val="865E56DA"/>
    <w:lvl w:ilvl="0">
      <w:start w:val="1"/>
      <w:numFmt w:val="lowerLetter"/>
      <w:lvlText w:val="%1)"/>
      <w:lvlJc w:val="left"/>
      <w:pPr>
        <w:tabs>
          <w:tab w:val="left" w:pos="504"/>
        </w:tabs>
      </w:pPr>
      <w:rPr>
        <w:rFonts w:ascii="Times New Roman" w:eastAsia="Times New Roman" w:hAnsi="Times New Roman"/>
        <w:color w:val="000000"/>
        <w:spacing w:val="1"/>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82A70D7"/>
    <w:multiLevelType w:val="multilevel"/>
    <w:tmpl w:val="ED7C4F2C"/>
    <w:lvl w:ilvl="0">
      <w:start w:val="1"/>
      <w:numFmt w:val="lowerLetter"/>
      <w:lvlText w:val="%1)"/>
      <w:lvlJc w:val="left"/>
      <w:pPr>
        <w:tabs>
          <w:tab w:val="left" w:pos="504"/>
        </w:tabs>
      </w:pPr>
      <w:rPr>
        <w:rFonts w:ascii="Arial" w:eastAsia="Times New Roman" w:hAnsi="Arial" w:cs="Arial" w:hint="default"/>
        <w:color w:val="000000"/>
        <w:spacing w:val="0"/>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A935BCB"/>
    <w:multiLevelType w:val="multilevel"/>
    <w:tmpl w:val="FEA22696"/>
    <w:lvl w:ilvl="0">
      <w:start w:val="1"/>
      <w:numFmt w:val="lowerLetter"/>
      <w:lvlText w:val="%1)"/>
      <w:lvlJc w:val="left"/>
      <w:pPr>
        <w:tabs>
          <w:tab w:val="left" w:pos="504"/>
        </w:tabs>
      </w:pPr>
      <w:rPr>
        <w:rFonts w:ascii="Arial" w:eastAsia="Times New Roman" w:hAnsi="Arial" w:cs="Arial" w:hint="default"/>
        <w:b w:val="0"/>
        <w:color w:val="000000"/>
        <w:spacing w:val="-4"/>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0D8322D"/>
    <w:multiLevelType w:val="multilevel"/>
    <w:tmpl w:val="04A6C6C8"/>
    <w:lvl w:ilvl="0">
      <w:start w:val="1"/>
      <w:numFmt w:val="lowerLetter"/>
      <w:lvlText w:val="%1)"/>
      <w:lvlJc w:val="left"/>
      <w:pPr>
        <w:tabs>
          <w:tab w:val="left" w:pos="504"/>
        </w:tabs>
      </w:pPr>
      <w:rPr>
        <w:rFonts w:ascii="Arial" w:eastAsia="Arial" w:hAnsi="Arial"/>
        <w:b w:val="0"/>
        <w:color w:val="000000"/>
        <w:spacing w:val="-1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3"/>
  </w:num>
  <w:num w:numId="3">
    <w:abstractNumId w:val="4"/>
  </w:num>
  <w:num w:numId="4">
    <w:abstractNumId w:val="6"/>
  </w:num>
  <w:num w:numId="5">
    <w:abstractNumId w:val="5"/>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shapeLayoutLikeWW8/>
    <w:doNotUseHTMLParagraphAutoSpacing/>
    <w:applyBreakingRules/>
    <w:useFELayout/>
    <w:doNotUseIndentAsNumberingTabStop/>
    <w:compatSetting w:name="compatibilityMode" w:uri="http://schemas.microsoft.com/office/word" w:val="12"/>
  </w:compat>
  <w:rsids>
    <w:rsidRoot w:val="00A2720C"/>
    <w:rsid w:val="000643BF"/>
    <w:rsid w:val="000978D8"/>
    <w:rsid w:val="000A617E"/>
    <w:rsid w:val="002078F0"/>
    <w:rsid w:val="00226907"/>
    <w:rsid w:val="002674D4"/>
    <w:rsid w:val="002A5032"/>
    <w:rsid w:val="002C768A"/>
    <w:rsid w:val="002D21F8"/>
    <w:rsid w:val="002F4AD4"/>
    <w:rsid w:val="002F5DA5"/>
    <w:rsid w:val="00313F34"/>
    <w:rsid w:val="00323BC9"/>
    <w:rsid w:val="0033141A"/>
    <w:rsid w:val="0034440F"/>
    <w:rsid w:val="00410757"/>
    <w:rsid w:val="00474BEC"/>
    <w:rsid w:val="004774E3"/>
    <w:rsid w:val="005540A4"/>
    <w:rsid w:val="005F09E7"/>
    <w:rsid w:val="006358FA"/>
    <w:rsid w:val="00650597"/>
    <w:rsid w:val="006D4D7C"/>
    <w:rsid w:val="006D5A46"/>
    <w:rsid w:val="00743535"/>
    <w:rsid w:val="008628AA"/>
    <w:rsid w:val="008B6249"/>
    <w:rsid w:val="008F0047"/>
    <w:rsid w:val="00924BE1"/>
    <w:rsid w:val="00935E08"/>
    <w:rsid w:val="009C29F8"/>
    <w:rsid w:val="00A1251B"/>
    <w:rsid w:val="00A2720C"/>
    <w:rsid w:val="00AF6C01"/>
    <w:rsid w:val="00B232DB"/>
    <w:rsid w:val="00B64C39"/>
    <w:rsid w:val="00C35445"/>
    <w:rsid w:val="00CA4903"/>
    <w:rsid w:val="00CB036C"/>
    <w:rsid w:val="00CB534B"/>
    <w:rsid w:val="00CC503B"/>
    <w:rsid w:val="00DB47BA"/>
    <w:rsid w:val="00DB68EA"/>
    <w:rsid w:val="00DC32C3"/>
    <w:rsid w:val="00E32E50"/>
    <w:rsid w:val="00E5252B"/>
    <w:rsid w:val="00F57896"/>
    <w:rsid w:val="00F67F79"/>
    <w:rsid w:val="00FD67A2"/>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2757E3"/>
  <w15:docId w15:val="{A7A19A06-CD25-4D4E-9137-B6F1B121C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PMingLiU" w:hAnsi="Times New Roman" w:cs="Times New Roman"/>
        <w:sz w:val="22"/>
        <w:szCs w:val="22"/>
        <w:lang w:val="ro-RO"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A2720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232DB"/>
    <w:rPr>
      <w:rFonts w:ascii="Tahoma" w:hAnsi="Tahoma" w:cs="Tahoma"/>
      <w:sz w:val="16"/>
      <w:szCs w:val="16"/>
    </w:rPr>
  </w:style>
  <w:style w:type="character" w:customStyle="1" w:styleId="BalloonTextChar">
    <w:name w:val="Balloon Text Char"/>
    <w:basedOn w:val="DefaultParagraphFont"/>
    <w:link w:val="BalloonText"/>
    <w:uiPriority w:val="99"/>
    <w:semiHidden/>
    <w:rsid w:val="00B232DB"/>
    <w:rPr>
      <w:rFonts w:ascii="Tahoma" w:hAnsi="Tahoma" w:cs="Tahoma"/>
      <w:sz w:val="16"/>
      <w:szCs w:val="16"/>
    </w:rPr>
  </w:style>
  <w:style w:type="paragraph" w:styleId="Header">
    <w:name w:val="header"/>
    <w:basedOn w:val="Normal"/>
    <w:link w:val="HeaderChar"/>
    <w:uiPriority w:val="99"/>
    <w:semiHidden/>
    <w:unhideWhenUsed/>
    <w:rsid w:val="00B232DB"/>
    <w:pPr>
      <w:tabs>
        <w:tab w:val="center" w:pos="4513"/>
        <w:tab w:val="right" w:pos="9026"/>
      </w:tabs>
    </w:pPr>
  </w:style>
  <w:style w:type="character" w:customStyle="1" w:styleId="HeaderChar">
    <w:name w:val="Header Char"/>
    <w:basedOn w:val="DefaultParagraphFont"/>
    <w:link w:val="Header"/>
    <w:uiPriority w:val="99"/>
    <w:semiHidden/>
    <w:rsid w:val="00B232DB"/>
  </w:style>
  <w:style w:type="paragraph" w:styleId="Footer">
    <w:name w:val="footer"/>
    <w:basedOn w:val="Normal"/>
    <w:link w:val="FooterChar"/>
    <w:uiPriority w:val="99"/>
    <w:unhideWhenUsed/>
    <w:rsid w:val="00B232DB"/>
    <w:pPr>
      <w:tabs>
        <w:tab w:val="center" w:pos="4513"/>
        <w:tab w:val="right" w:pos="9026"/>
      </w:tabs>
    </w:pPr>
  </w:style>
  <w:style w:type="character" w:customStyle="1" w:styleId="FooterChar">
    <w:name w:val="Footer Char"/>
    <w:basedOn w:val="DefaultParagraphFont"/>
    <w:link w:val="Footer"/>
    <w:uiPriority w:val="99"/>
    <w:rsid w:val="00B232DB"/>
  </w:style>
  <w:style w:type="paragraph" w:styleId="ListParagraph">
    <w:name w:val="List Paragraph"/>
    <w:basedOn w:val="Normal"/>
    <w:uiPriority w:val="34"/>
    <w:qFormat/>
    <w:rsid w:val="002D21F8"/>
    <w:pPr>
      <w:ind w:left="720"/>
      <w:contextualSpacing/>
    </w:pPr>
  </w:style>
  <w:style w:type="character" w:styleId="CommentReference">
    <w:name w:val="annotation reference"/>
    <w:basedOn w:val="DefaultParagraphFont"/>
    <w:uiPriority w:val="99"/>
    <w:semiHidden/>
    <w:unhideWhenUsed/>
    <w:rsid w:val="008F0047"/>
    <w:rPr>
      <w:sz w:val="16"/>
      <w:szCs w:val="16"/>
    </w:rPr>
  </w:style>
  <w:style w:type="paragraph" w:styleId="CommentText">
    <w:name w:val="annotation text"/>
    <w:basedOn w:val="Normal"/>
    <w:link w:val="CommentTextChar"/>
    <w:uiPriority w:val="99"/>
    <w:semiHidden/>
    <w:unhideWhenUsed/>
    <w:rsid w:val="008F0047"/>
    <w:rPr>
      <w:sz w:val="20"/>
      <w:szCs w:val="20"/>
    </w:rPr>
  </w:style>
  <w:style w:type="character" w:customStyle="1" w:styleId="CommentTextChar">
    <w:name w:val="Comment Text Char"/>
    <w:basedOn w:val="DefaultParagraphFont"/>
    <w:link w:val="CommentText"/>
    <w:uiPriority w:val="99"/>
    <w:semiHidden/>
    <w:rsid w:val="008F0047"/>
    <w:rPr>
      <w:sz w:val="20"/>
      <w:szCs w:val="20"/>
    </w:rPr>
  </w:style>
  <w:style w:type="paragraph" w:styleId="CommentSubject">
    <w:name w:val="annotation subject"/>
    <w:basedOn w:val="CommentText"/>
    <w:next w:val="CommentText"/>
    <w:link w:val="CommentSubjectChar"/>
    <w:uiPriority w:val="99"/>
    <w:semiHidden/>
    <w:unhideWhenUsed/>
    <w:rsid w:val="008F0047"/>
    <w:rPr>
      <w:b/>
      <w:bCs/>
    </w:rPr>
  </w:style>
  <w:style w:type="character" w:customStyle="1" w:styleId="CommentSubjectChar">
    <w:name w:val="Comment Subject Char"/>
    <w:basedOn w:val="CommentTextChar"/>
    <w:link w:val="CommentSubject"/>
    <w:uiPriority w:val="99"/>
    <w:semiHidden/>
    <w:rsid w:val="008F004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fId" Type="http://schemas.openxmlformats.org/wordprocessingml/2006/fontTable" Target="fontTabl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BCB224-8C94-44F2-9D99-3CE08698B8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6</Pages>
  <Words>1875</Words>
  <Characters>10690</Characters>
  <Application>Microsoft Office Word</Application>
  <DocSecurity>0</DocSecurity>
  <Lines>89</Lines>
  <Paragraphs>25</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12540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Fefica</dc:creator>
  <cp:lastModifiedBy>Cristian Danciu</cp:lastModifiedBy>
  <cp:revision>36</cp:revision>
  <dcterms:created xsi:type="dcterms:W3CDTF">2018-11-07T09:50:00Z</dcterms:created>
  <dcterms:modified xsi:type="dcterms:W3CDTF">2019-02-13T06:39:00Z</dcterms:modified>
</cp:coreProperties>
</file>