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69" w:rsidRPr="008A0B5C" w:rsidRDefault="00656486" w:rsidP="0039666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A17A94">
        <w:rPr>
          <w:rFonts w:ascii="Trebuchet MS" w:eastAsia="MS Mincho" w:hAnsi="Trebuchet MS"/>
          <w:noProof/>
          <w:sz w:val="18"/>
          <w:szCs w:val="18"/>
          <w:lang w:val="en-US"/>
        </w:rPr>
        <w:drawing>
          <wp:inline distT="0" distB="0" distL="0" distR="0" wp14:anchorId="04250488" wp14:editId="1B2B9A91">
            <wp:extent cx="4084320" cy="891506"/>
            <wp:effectExtent l="0" t="0" r="0" b="4445"/>
            <wp:docPr id="2" name="Picture 2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96" cy="99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469" w:rsidRPr="008A0B5C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</w:t>
      </w:r>
    </w:p>
    <w:p w:rsidR="00A94469" w:rsidRPr="008A0B5C" w:rsidRDefault="00A94469" w:rsidP="0039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1B84" w:rsidRPr="008A0B5C" w:rsidRDefault="00D31B84" w:rsidP="0039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4469" w:rsidRPr="008A0B5C" w:rsidRDefault="00A94469" w:rsidP="0039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B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 R D I N U L</w:t>
      </w:r>
      <w:r w:rsidR="006564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N</w:t>
      </w:r>
      <w:r w:rsidRPr="008A0B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r. ……….</w:t>
      </w:r>
      <w:r w:rsidR="006564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A0B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din ……………….</w:t>
      </w:r>
    </w:p>
    <w:p w:rsidR="00A94469" w:rsidRPr="008A0B5C" w:rsidRDefault="00A94469" w:rsidP="0039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306" w:rsidRDefault="00691823" w:rsidP="0039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privind</w:t>
      </w:r>
      <w:r w:rsidR="00941306" w:rsidRPr="00941306">
        <w:rPr>
          <w:rFonts w:ascii="Times New Roman" w:hAnsi="Times New Roman" w:cs="Times New Roman"/>
          <w:b/>
          <w:sz w:val="28"/>
          <w:szCs w:val="28"/>
        </w:rPr>
        <w:t xml:space="preserve"> modificarea și completarea Ordinului ministrului transporturilor</w:t>
      </w:r>
    </w:p>
    <w:p w:rsidR="00D31B84" w:rsidRDefault="00941306" w:rsidP="0039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06">
        <w:rPr>
          <w:rFonts w:ascii="Times New Roman" w:hAnsi="Times New Roman" w:cs="Times New Roman"/>
          <w:b/>
          <w:sz w:val="28"/>
          <w:szCs w:val="28"/>
        </w:rPr>
        <w:t xml:space="preserve">nr. 213/2013 pentru publicarea acceptării Liniilor directoare și specificațiilor revizuite privind echipamentul de prevenire a poluării destinat apei de santină din compartimentul de mașini al navelor, adoptate de Organizația Maritimă Internațională prin Rezoluția MEPC.107(49) a Comitetului pentru protecția mediului marin din 18 iulie 2003, precum </w:t>
      </w:r>
      <w:r w:rsidR="00AD1B62" w:rsidRPr="00941306">
        <w:rPr>
          <w:rFonts w:ascii="Times New Roman" w:hAnsi="Times New Roman" w:cs="Times New Roman"/>
          <w:b/>
          <w:sz w:val="28"/>
          <w:szCs w:val="28"/>
        </w:rPr>
        <w:t>și</w:t>
      </w:r>
      <w:r w:rsidRPr="00941306">
        <w:rPr>
          <w:rFonts w:ascii="Times New Roman" w:hAnsi="Times New Roman" w:cs="Times New Roman"/>
          <w:b/>
          <w:sz w:val="28"/>
          <w:szCs w:val="28"/>
        </w:rPr>
        <w:t xml:space="preserve"> a Liniilor directoare și specificațiilor din 2011 pentru dispozitive suplimentare destinate modernizării echipamentului de filtrare a hidrocarburilor realizat în conformitate cu Rezoluția MEPC.60(33), adoptate de Organizația Maritimă Internațională prin Rezoluția MEPC.205(62) a Comitetului pentru protecția mediului marin din 15 iulie 2011</w:t>
      </w:r>
    </w:p>
    <w:p w:rsidR="00941306" w:rsidRDefault="00941306" w:rsidP="0039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9E" w:rsidRPr="004524F2" w:rsidRDefault="00DD449E" w:rsidP="00396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306" w:rsidRPr="00DD449E" w:rsidRDefault="00DD449E" w:rsidP="00396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9E">
        <w:rPr>
          <w:rFonts w:ascii="Times New Roman" w:hAnsi="Times New Roman" w:cs="Times New Roman"/>
          <w:b/>
          <w:sz w:val="28"/>
          <w:szCs w:val="28"/>
        </w:rPr>
        <w:t>Ministrul transporturilor,</w:t>
      </w:r>
    </w:p>
    <w:p w:rsidR="00DD449E" w:rsidRPr="004524F2" w:rsidRDefault="00DD449E" w:rsidP="0039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6C" w:rsidRPr="00396661" w:rsidRDefault="00D234A6" w:rsidP="0039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#" w:history="1"/>
      <w:r w:rsidR="00656486" w:rsidRPr="00396661">
        <w:rPr>
          <w:rFonts w:ascii="Times New Roman" w:eastAsia="Times New Roman" w:hAnsi="Times New Roman" w:cs="Times New Roman"/>
          <w:i/>
          <w:sz w:val="28"/>
          <w:szCs w:val="28"/>
        </w:rPr>
        <w:t>Având în vedere</w:t>
      </w:r>
      <w:r w:rsidR="003966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96661">
        <w:rPr>
          <w:rFonts w:ascii="Times New Roman" w:hAnsi="Times New Roman" w:cs="Times New Roman"/>
          <w:sz w:val="28"/>
          <w:szCs w:val="28"/>
        </w:rPr>
        <w:t>r</w:t>
      </w:r>
      <w:r w:rsidR="00005EB5" w:rsidRPr="00656486">
        <w:rPr>
          <w:rFonts w:ascii="Times New Roman" w:hAnsi="Times New Roman" w:cs="Times New Roman"/>
          <w:sz w:val="28"/>
          <w:szCs w:val="28"/>
        </w:rPr>
        <w:t>eferatul Direcției transpor</w:t>
      </w:r>
      <w:r w:rsidR="001C5CF0">
        <w:rPr>
          <w:rFonts w:ascii="Times New Roman" w:hAnsi="Times New Roman" w:cs="Times New Roman"/>
          <w:sz w:val="28"/>
          <w:szCs w:val="28"/>
        </w:rPr>
        <w:t>t naval nr. 4413/186 din 31.01.2018</w:t>
      </w:r>
      <w:r w:rsidR="00005EB5" w:rsidRPr="00656486">
        <w:rPr>
          <w:rFonts w:ascii="Times New Roman" w:hAnsi="Times New Roman" w:cs="Times New Roman"/>
          <w:sz w:val="28"/>
          <w:szCs w:val="28"/>
        </w:rPr>
        <w:t xml:space="preserve"> </w:t>
      </w:r>
      <w:r w:rsidR="0046449D" w:rsidRPr="00656486">
        <w:rPr>
          <w:rFonts w:ascii="Times New Roman" w:hAnsi="Times New Roman" w:cs="Times New Roman"/>
          <w:sz w:val="28"/>
          <w:szCs w:val="28"/>
        </w:rPr>
        <w:t xml:space="preserve">prin care se solicită </w:t>
      </w:r>
      <w:r w:rsidR="00656486" w:rsidRPr="00656486">
        <w:rPr>
          <w:rFonts w:ascii="Times New Roman" w:hAnsi="Times New Roman" w:cs="Times New Roman"/>
          <w:sz w:val="28"/>
          <w:szCs w:val="28"/>
        </w:rPr>
        <w:t>modificarea și completarea Ordinului ministrului transporturilor</w:t>
      </w:r>
      <w:r w:rsidR="00656486">
        <w:rPr>
          <w:rFonts w:ascii="Times New Roman" w:hAnsi="Times New Roman" w:cs="Times New Roman"/>
          <w:sz w:val="28"/>
          <w:szCs w:val="28"/>
        </w:rPr>
        <w:t xml:space="preserve"> </w:t>
      </w:r>
      <w:r w:rsidR="00656486" w:rsidRPr="00656486">
        <w:rPr>
          <w:rFonts w:ascii="Times New Roman" w:hAnsi="Times New Roman" w:cs="Times New Roman"/>
          <w:sz w:val="28"/>
          <w:szCs w:val="28"/>
        </w:rPr>
        <w:t>nr. 213/2013 pentru publicarea acceptării Liniilor directoare și specificațiilor revizuite privind echipamentul de prevenire a poluării destinat apei de santină din compartimentul de mașini al navelor, adoptate de Organizația Maritimă Internațională prin Rezoluția MEPC.107(49) a Comitetului pentru protecția mediului marin din 18 iulie 2003, precum și a Liniilor directoare și specificațiilor din 2011 pentru dispozitive suplimentare destinate modernizării echipamentului de filtrare a hidrocarburilor realizat în conformitate cu Rezoluția MEPC.60(33), adoptate de Organizația Maritimă Internațională prin Rezoluția MEPC.205(62) a Comitetului pentru protecția mediului marin din 15 iulie 2011</w:t>
      </w:r>
    </w:p>
    <w:p w:rsidR="00DD449E" w:rsidRPr="00396661" w:rsidRDefault="00EC166C" w:rsidP="00396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6661">
        <w:rPr>
          <w:rFonts w:ascii="Times New Roman" w:eastAsia="Times New Roman" w:hAnsi="Times New Roman" w:cs="Times New Roman"/>
          <w:i/>
          <w:sz w:val="28"/>
          <w:szCs w:val="28"/>
        </w:rPr>
        <w:t>Ținând seamă</w:t>
      </w:r>
      <w:r w:rsidR="00396661">
        <w:rPr>
          <w:rFonts w:ascii="Times New Roman" w:eastAsia="Times New Roman" w:hAnsi="Times New Roman" w:cs="Times New Roman"/>
          <w:i/>
          <w:sz w:val="28"/>
          <w:szCs w:val="28"/>
        </w:rPr>
        <w:t xml:space="preserve"> de prevederile</w:t>
      </w:r>
      <w:r w:rsidR="00396661">
        <w:rPr>
          <w:rFonts w:ascii="Times New Roman" w:hAnsi="Times New Roman" w:cs="Times New Roman"/>
          <w:sz w:val="28"/>
          <w:szCs w:val="28"/>
        </w:rPr>
        <w:t xml:space="preserve"> rezoluției</w:t>
      </w:r>
      <w:r w:rsidR="00C95961" w:rsidRPr="00EA096C">
        <w:rPr>
          <w:rFonts w:ascii="Times New Roman" w:hAnsi="Times New Roman" w:cs="Times New Roman"/>
          <w:sz w:val="28"/>
          <w:szCs w:val="28"/>
        </w:rPr>
        <w:t xml:space="preserve"> MEPC.285(70) a Comitetului pentru </w:t>
      </w:r>
      <w:r w:rsidR="00AD1B62" w:rsidRPr="00EA096C">
        <w:rPr>
          <w:rFonts w:ascii="Times New Roman" w:hAnsi="Times New Roman" w:cs="Times New Roman"/>
          <w:sz w:val="28"/>
          <w:szCs w:val="28"/>
        </w:rPr>
        <w:t>protecția</w:t>
      </w:r>
      <w:r w:rsidR="00C95961" w:rsidRPr="00EA096C">
        <w:rPr>
          <w:rFonts w:ascii="Times New Roman" w:hAnsi="Times New Roman" w:cs="Times New Roman"/>
          <w:sz w:val="28"/>
          <w:szCs w:val="28"/>
        </w:rPr>
        <w:t xml:space="preserve"> mediului marin din 28 octombrie 2016</w:t>
      </w:r>
      <w:r w:rsidR="002E33E1" w:rsidRPr="00EA096C">
        <w:rPr>
          <w:rFonts w:ascii="Times New Roman" w:hAnsi="Times New Roman" w:cs="Times New Roman"/>
          <w:sz w:val="28"/>
          <w:szCs w:val="28"/>
        </w:rPr>
        <w:t xml:space="preserve"> care amendează Liniile directoare și specificațiile revizuite privind echipamentul de prevenire a poluării destinat apei de santină din compartimentul de mașini al navelor, adoptate de Organizația Maritimă Internațională prin Rezoluția MEPC.107(49) a Comitetului pentru protecția mediului marin din 18 iulie 2003, care a</w:t>
      </w:r>
      <w:r w:rsidR="00154EBB" w:rsidRPr="00EA096C">
        <w:rPr>
          <w:rFonts w:ascii="Times New Roman" w:hAnsi="Times New Roman" w:cs="Times New Roman"/>
          <w:sz w:val="28"/>
          <w:szCs w:val="28"/>
        </w:rPr>
        <w:t>u</w:t>
      </w:r>
      <w:r w:rsidR="002E33E1" w:rsidRPr="00EA096C">
        <w:rPr>
          <w:rFonts w:ascii="Times New Roman" w:hAnsi="Times New Roman" w:cs="Times New Roman"/>
          <w:sz w:val="28"/>
          <w:szCs w:val="28"/>
        </w:rPr>
        <w:t xml:space="preserve"> fost implementat</w:t>
      </w:r>
      <w:r w:rsidR="00154EBB" w:rsidRPr="00EA096C">
        <w:rPr>
          <w:rFonts w:ascii="Times New Roman" w:hAnsi="Times New Roman" w:cs="Times New Roman"/>
          <w:sz w:val="28"/>
          <w:szCs w:val="28"/>
        </w:rPr>
        <w:t>e</w:t>
      </w:r>
      <w:r w:rsidR="002E33E1" w:rsidRPr="00EA096C">
        <w:rPr>
          <w:rFonts w:ascii="Times New Roman" w:hAnsi="Times New Roman" w:cs="Times New Roman"/>
          <w:sz w:val="28"/>
          <w:szCs w:val="28"/>
        </w:rPr>
        <w:t xml:space="preserve"> prin Ordinul ministrul</w:t>
      </w:r>
      <w:r w:rsidR="00396661">
        <w:rPr>
          <w:rFonts w:ascii="Times New Roman" w:hAnsi="Times New Roman" w:cs="Times New Roman"/>
          <w:sz w:val="28"/>
          <w:szCs w:val="28"/>
        </w:rPr>
        <w:t>ui transporturilor nr. 213/2013, r</w:t>
      </w:r>
      <w:r w:rsidR="00562782" w:rsidRPr="00EA096C">
        <w:rPr>
          <w:rFonts w:ascii="Times New Roman" w:hAnsi="Times New Roman" w:cs="Times New Roman"/>
          <w:sz w:val="28"/>
          <w:szCs w:val="28"/>
        </w:rPr>
        <w:t>egulii 14 din A</w:t>
      </w:r>
      <w:r w:rsidR="00E13712" w:rsidRPr="00EA096C">
        <w:rPr>
          <w:rFonts w:ascii="Times New Roman" w:hAnsi="Times New Roman" w:cs="Times New Roman"/>
          <w:sz w:val="28"/>
          <w:szCs w:val="28"/>
        </w:rPr>
        <w:t xml:space="preserve">nexa I la </w:t>
      </w:r>
      <w:r w:rsidR="00AD1B62" w:rsidRPr="00EA096C">
        <w:rPr>
          <w:rFonts w:ascii="Times New Roman" w:hAnsi="Times New Roman" w:cs="Times New Roman"/>
          <w:sz w:val="28"/>
          <w:szCs w:val="28"/>
        </w:rPr>
        <w:t>Convenția</w:t>
      </w:r>
      <w:r w:rsidR="00E13712" w:rsidRPr="00EA096C">
        <w:rPr>
          <w:rFonts w:ascii="Times New Roman" w:hAnsi="Times New Roman" w:cs="Times New Roman"/>
          <w:sz w:val="28"/>
          <w:szCs w:val="28"/>
        </w:rPr>
        <w:t xml:space="preserve"> </w:t>
      </w:r>
      <w:r w:rsidR="00AD1B62" w:rsidRPr="00EA096C">
        <w:rPr>
          <w:rFonts w:ascii="Times New Roman" w:hAnsi="Times New Roman" w:cs="Times New Roman"/>
          <w:sz w:val="28"/>
          <w:szCs w:val="28"/>
        </w:rPr>
        <w:t>internațională</w:t>
      </w:r>
      <w:r w:rsidR="00E13712" w:rsidRPr="00EA096C">
        <w:rPr>
          <w:rFonts w:ascii="Times New Roman" w:hAnsi="Times New Roman" w:cs="Times New Roman"/>
          <w:sz w:val="28"/>
          <w:szCs w:val="28"/>
        </w:rPr>
        <w:t xml:space="preserve"> din 1973 pentru prevenirea poluării de către nave, astfel cum a fost modificată prin Protocolul din 1978 referitor la aceasta (MARPOL 73/78), la care România a aderat prin Legea nr. 6/1993</w:t>
      </w:r>
      <w:r w:rsidR="00396661">
        <w:rPr>
          <w:rFonts w:ascii="Times New Roman" w:hAnsi="Times New Roman" w:cs="Times New Roman"/>
          <w:sz w:val="28"/>
          <w:szCs w:val="28"/>
        </w:rPr>
        <w:t xml:space="preserve">, a </w:t>
      </w:r>
      <w:r w:rsidR="00DD449E" w:rsidRPr="00EA096C">
        <w:rPr>
          <w:rFonts w:ascii="Times New Roman" w:hAnsi="Times New Roman" w:cs="Times New Roman"/>
          <w:sz w:val="28"/>
          <w:szCs w:val="28"/>
        </w:rPr>
        <w:t>art. 4 alin. (1) din Ordonanța Guvernului nr. 42/1997 privind transportul maritim și pe căile navigabile interioare, republicată, cu modificările și completările ulterioar</w:t>
      </w:r>
      <w:r w:rsidR="00581513" w:rsidRPr="00EA096C">
        <w:rPr>
          <w:rFonts w:ascii="Times New Roman" w:hAnsi="Times New Roman" w:cs="Times New Roman"/>
          <w:sz w:val="28"/>
          <w:szCs w:val="28"/>
        </w:rPr>
        <w:t>e, precum și ale art. 2 pct. 20 și</w:t>
      </w:r>
      <w:r w:rsidR="00DD449E" w:rsidRPr="00EA096C">
        <w:rPr>
          <w:rFonts w:ascii="Times New Roman" w:hAnsi="Times New Roman" w:cs="Times New Roman"/>
          <w:sz w:val="28"/>
          <w:szCs w:val="28"/>
        </w:rPr>
        <w:t xml:space="preserve"> a</w:t>
      </w:r>
      <w:r w:rsidR="002924CC" w:rsidRPr="00EA096C">
        <w:rPr>
          <w:rFonts w:ascii="Times New Roman" w:hAnsi="Times New Roman" w:cs="Times New Roman"/>
          <w:sz w:val="28"/>
          <w:szCs w:val="28"/>
        </w:rPr>
        <w:t>rt. 4 alin. (1) pct. 45 și 70 din Hotărârea Guvernului nr. 21/2015 privind organizarea și funcționarea Ministerului Transporturilor, cu modificările și completările ulterioare</w:t>
      </w:r>
    </w:p>
    <w:p w:rsidR="00B67A89" w:rsidRPr="00396661" w:rsidRDefault="00D234A6" w:rsidP="00396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w:anchor="#" w:history="1"/>
      <w:r w:rsidR="00396661">
        <w:rPr>
          <w:rFonts w:ascii="Times New Roman" w:eastAsia="Times New Roman" w:hAnsi="Times New Roman" w:cs="Times New Roman"/>
          <w:i/>
          <w:sz w:val="28"/>
          <w:szCs w:val="28"/>
        </w:rPr>
        <w:t xml:space="preserve">În temeiul </w:t>
      </w:r>
      <w:r w:rsidR="00B67A89" w:rsidRPr="00EA096C">
        <w:rPr>
          <w:rFonts w:ascii="Times New Roman" w:hAnsi="Times New Roman" w:cs="Times New Roman"/>
          <w:sz w:val="28"/>
          <w:szCs w:val="28"/>
        </w:rPr>
        <w:t xml:space="preserve">art. 5 alin. (4) din Hotărârea Guvernului nr. 21/2015 privind organizarea </w:t>
      </w:r>
      <w:r w:rsidR="00023EFB" w:rsidRPr="00EA096C">
        <w:rPr>
          <w:rFonts w:ascii="Times New Roman" w:hAnsi="Times New Roman" w:cs="Times New Roman"/>
          <w:sz w:val="28"/>
          <w:szCs w:val="28"/>
        </w:rPr>
        <w:t>ș</w:t>
      </w:r>
      <w:r w:rsidR="00B67A89" w:rsidRPr="00EA096C">
        <w:rPr>
          <w:rFonts w:ascii="Times New Roman" w:hAnsi="Times New Roman" w:cs="Times New Roman"/>
          <w:sz w:val="28"/>
          <w:szCs w:val="28"/>
        </w:rPr>
        <w:t>i func</w:t>
      </w:r>
      <w:r w:rsidR="00023EFB" w:rsidRPr="00EA096C">
        <w:rPr>
          <w:rFonts w:ascii="Times New Roman" w:hAnsi="Times New Roman" w:cs="Times New Roman"/>
          <w:sz w:val="28"/>
          <w:szCs w:val="28"/>
        </w:rPr>
        <w:t>ț</w:t>
      </w:r>
      <w:r w:rsidR="00B67A89" w:rsidRPr="00EA096C">
        <w:rPr>
          <w:rFonts w:ascii="Times New Roman" w:hAnsi="Times New Roman" w:cs="Times New Roman"/>
          <w:sz w:val="28"/>
          <w:szCs w:val="28"/>
        </w:rPr>
        <w:t xml:space="preserve">ionarea Ministerului Transporturilor, cu modificările </w:t>
      </w:r>
      <w:r w:rsidR="00023EFB" w:rsidRPr="00EA096C">
        <w:rPr>
          <w:rFonts w:ascii="Times New Roman" w:hAnsi="Times New Roman" w:cs="Times New Roman"/>
          <w:sz w:val="28"/>
          <w:szCs w:val="28"/>
        </w:rPr>
        <w:t>ș</w:t>
      </w:r>
      <w:r w:rsidR="00B67A89" w:rsidRPr="00EA096C">
        <w:rPr>
          <w:rFonts w:ascii="Times New Roman" w:hAnsi="Times New Roman" w:cs="Times New Roman"/>
          <w:sz w:val="28"/>
          <w:szCs w:val="28"/>
        </w:rPr>
        <w:t>i completările ulterioare,</w:t>
      </w:r>
    </w:p>
    <w:p w:rsidR="00EA096C" w:rsidRDefault="00EA096C" w:rsidP="00396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96C" w:rsidRDefault="00EA096C" w:rsidP="00396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02C" w:rsidRPr="00EA096C" w:rsidRDefault="00DD449E" w:rsidP="00396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096C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="00EC166C">
        <w:rPr>
          <w:rFonts w:ascii="Times New Roman" w:eastAsia="Calibri" w:hAnsi="Times New Roman" w:cs="Times New Roman"/>
          <w:b/>
          <w:sz w:val="28"/>
          <w:szCs w:val="28"/>
        </w:rPr>
        <w:t>mite prezentul</w:t>
      </w:r>
      <w:r w:rsidR="00EA096C" w:rsidRPr="00EA096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F402C" w:rsidRPr="00EA09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31A55" w:rsidRPr="008A0B5C" w:rsidRDefault="00831A55" w:rsidP="003966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F402C" w:rsidRPr="008A0B5C" w:rsidRDefault="000F402C" w:rsidP="0039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B5C">
        <w:rPr>
          <w:rFonts w:ascii="Times New Roman" w:eastAsia="Calibri" w:hAnsi="Times New Roman" w:cs="Times New Roman"/>
          <w:b/>
          <w:sz w:val="28"/>
          <w:szCs w:val="28"/>
        </w:rPr>
        <w:t>ORDIN</w:t>
      </w:r>
    </w:p>
    <w:p w:rsidR="000F402C" w:rsidRPr="008A0B5C" w:rsidRDefault="000F402C" w:rsidP="0039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55" w:rsidRPr="00232E87" w:rsidRDefault="00B67A89" w:rsidP="0039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b/>
          <w:sz w:val="28"/>
          <w:szCs w:val="28"/>
        </w:rPr>
        <w:t>A</w:t>
      </w:r>
      <w:r w:rsidR="000F402C" w:rsidRPr="008A0B5C">
        <w:rPr>
          <w:rFonts w:ascii="Times New Roman" w:hAnsi="Times New Roman" w:cs="Times New Roman"/>
          <w:b/>
          <w:sz w:val="28"/>
          <w:szCs w:val="28"/>
        </w:rPr>
        <w:t>rt</w:t>
      </w:r>
      <w:r w:rsidR="00605039">
        <w:rPr>
          <w:rFonts w:ascii="Times New Roman" w:hAnsi="Times New Roman" w:cs="Times New Roman"/>
          <w:b/>
          <w:sz w:val="28"/>
          <w:szCs w:val="28"/>
        </w:rPr>
        <w:t>. I</w:t>
      </w:r>
      <w:r w:rsidR="000F402C" w:rsidRPr="008A0B5C">
        <w:rPr>
          <w:rFonts w:ascii="Times New Roman" w:hAnsi="Times New Roman" w:cs="Times New Roman"/>
          <w:sz w:val="28"/>
          <w:szCs w:val="28"/>
        </w:rPr>
        <w:t xml:space="preserve"> </w:t>
      </w:r>
      <w:r w:rsidR="00966980" w:rsidRPr="00966980">
        <w:rPr>
          <w:rFonts w:ascii="Times New Roman" w:hAnsi="Times New Roman" w:cs="Times New Roman"/>
          <w:sz w:val="28"/>
          <w:szCs w:val="28"/>
        </w:rPr>
        <w:t xml:space="preserve">– </w:t>
      </w:r>
      <w:r w:rsidR="006D62EF" w:rsidRPr="006D62EF">
        <w:rPr>
          <w:rFonts w:ascii="Times New Roman" w:hAnsi="Times New Roman" w:cs="Times New Roman"/>
          <w:sz w:val="28"/>
          <w:szCs w:val="28"/>
        </w:rPr>
        <w:t xml:space="preserve">Ordinul ministrului transporturilor nr. 213/2013 pentru publicarea acceptării Liniilor directoare și specificațiilor revizuite privind echipamentul de prevenire a poluării destinat apei de santină din compartimentul de mașini al navelor, adoptate de Organizația Maritimă Internațională prin Rezoluția MEPC.107(49) a Comitetului pentru protecția mediului marin din 18 iulie 2003, precum </w:t>
      </w:r>
      <w:r w:rsidR="006509C4" w:rsidRPr="006D62EF">
        <w:rPr>
          <w:rFonts w:ascii="Times New Roman" w:hAnsi="Times New Roman" w:cs="Times New Roman"/>
          <w:sz w:val="28"/>
          <w:szCs w:val="28"/>
        </w:rPr>
        <w:t>și</w:t>
      </w:r>
      <w:r w:rsidR="006D62EF" w:rsidRPr="006D62EF">
        <w:rPr>
          <w:rFonts w:ascii="Times New Roman" w:hAnsi="Times New Roman" w:cs="Times New Roman"/>
          <w:sz w:val="28"/>
          <w:szCs w:val="28"/>
        </w:rPr>
        <w:t xml:space="preserve"> a Liniilor directoare și specificațiilor din 2011 pentru dispozitive suplimentare destinate modernizării echipamentului de filtrare a hidrocarburilor realizat în conformitate cu Rezoluția MEPC.60(33), adoptate de Organizația Maritimă Internațională prin Rezoluția MEPC.205(62) a Comitetului pentru protecția mediului marin din 15 iulie 2011</w:t>
      </w:r>
      <w:r w:rsidR="006D62EF">
        <w:rPr>
          <w:rFonts w:ascii="Times New Roman" w:hAnsi="Times New Roman" w:cs="Times New Roman"/>
          <w:sz w:val="28"/>
          <w:szCs w:val="28"/>
        </w:rPr>
        <w:t xml:space="preserve">, publicat </w:t>
      </w:r>
      <w:r w:rsidR="00D72A34">
        <w:rPr>
          <w:rFonts w:ascii="Times New Roman" w:hAnsi="Times New Roman" w:cs="Times New Roman"/>
          <w:sz w:val="28"/>
          <w:szCs w:val="28"/>
        </w:rPr>
        <w:t xml:space="preserve">în </w:t>
      </w:r>
      <w:r w:rsidR="00D72A34" w:rsidRPr="00D72A34">
        <w:rPr>
          <w:rFonts w:ascii="Times New Roman" w:hAnsi="Times New Roman" w:cs="Times New Roman"/>
          <w:sz w:val="28"/>
          <w:szCs w:val="28"/>
        </w:rPr>
        <w:t>Monitorul Oficial al României, Partea I</w:t>
      </w:r>
      <w:r w:rsidR="00D72A34">
        <w:rPr>
          <w:rFonts w:ascii="Times New Roman" w:hAnsi="Times New Roman" w:cs="Times New Roman"/>
          <w:sz w:val="28"/>
          <w:szCs w:val="28"/>
        </w:rPr>
        <w:t xml:space="preserve">, nr. </w:t>
      </w:r>
      <w:r w:rsidR="00D72A34" w:rsidRPr="00D72A34">
        <w:rPr>
          <w:rFonts w:ascii="Times New Roman" w:hAnsi="Times New Roman" w:cs="Times New Roman"/>
          <w:sz w:val="28"/>
          <w:szCs w:val="28"/>
        </w:rPr>
        <w:t xml:space="preserve">375 </w:t>
      </w:r>
      <w:r w:rsidR="00411C97">
        <w:rPr>
          <w:rFonts w:ascii="Times New Roman" w:hAnsi="Times New Roman" w:cs="Times New Roman"/>
          <w:sz w:val="28"/>
          <w:szCs w:val="28"/>
        </w:rPr>
        <w:t xml:space="preserve">și nr. 375 bis </w:t>
      </w:r>
      <w:r w:rsidR="00D72A34" w:rsidRPr="00D72A34">
        <w:rPr>
          <w:rFonts w:ascii="Times New Roman" w:hAnsi="Times New Roman" w:cs="Times New Roman"/>
          <w:sz w:val="28"/>
          <w:szCs w:val="28"/>
        </w:rPr>
        <w:t>din 25 iunie 2013</w:t>
      </w:r>
      <w:r w:rsidR="00D72A34">
        <w:rPr>
          <w:rFonts w:ascii="Times New Roman" w:hAnsi="Times New Roman" w:cs="Times New Roman"/>
          <w:sz w:val="28"/>
          <w:szCs w:val="28"/>
        </w:rPr>
        <w:t>, se modifică și se completează după cum urmează:</w:t>
      </w:r>
    </w:p>
    <w:p w:rsidR="006D62EF" w:rsidRDefault="006D62EF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2EF" w:rsidRPr="006D62EF" w:rsidRDefault="006D62EF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B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6D62EF">
        <w:rPr>
          <w:rFonts w:ascii="Times New Roman" w:eastAsia="Calibri" w:hAnsi="Times New Roman" w:cs="Times New Roman"/>
          <w:sz w:val="28"/>
          <w:szCs w:val="28"/>
        </w:rPr>
        <w:t xml:space="preserve"> Titlul ordinului se modifică </w:t>
      </w:r>
      <w:r w:rsidR="00AD1B62" w:rsidRPr="006D62EF">
        <w:rPr>
          <w:rFonts w:ascii="Times New Roman" w:eastAsia="Calibri" w:hAnsi="Times New Roman" w:cs="Times New Roman"/>
          <w:sz w:val="28"/>
          <w:szCs w:val="28"/>
        </w:rPr>
        <w:t>și</w:t>
      </w:r>
      <w:r w:rsidRPr="006D62EF">
        <w:rPr>
          <w:rFonts w:ascii="Times New Roman" w:eastAsia="Calibri" w:hAnsi="Times New Roman" w:cs="Times New Roman"/>
          <w:sz w:val="28"/>
          <w:szCs w:val="28"/>
        </w:rPr>
        <w:t xml:space="preserve"> va avea următorul cuprins:</w:t>
      </w:r>
    </w:p>
    <w:p w:rsidR="0017518A" w:rsidRDefault="0017518A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039" w:rsidRDefault="006D62EF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„</w:t>
      </w:r>
      <w:r w:rsidRPr="006D62EF">
        <w:rPr>
          <w:rFonts w:ascii="Times New Roman" w:eastAsia="Calibri" w:hAnsi="Times New Roman" w:cs="Times New Roman"/>
          <w:sz w:val="28"/>
          <w:szCs w:val="28"/>
        </w:rPr>
        <w:t>ORDIN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2EF">
        <w:rPr>
          <w:rFonts w:ascii="Times New Roman" w:eastAsia="Calibri" w:hAnsi="Times New Roman" w:cs="Times New Roman"/>
          <w:sz w:val="28"/>
          <w:szCs w:val="28"/>
        </w:rPr>
        <w:t xml:space="preserve">pentru publicarea acceptării Liniilor directoare și specificațiilor revizuite privind echipamentul de prevenire a poluării destinat apei de santină din compartimentul de mașini al navelor, adoptate de Organizația Maritimă Internațională prin Rezoluția MEPC.107(49) a Comitetului pentru protecția mediului marin din 18 iulie 2003 și a amendamentelor la acestea, precum </w:t>
      </w:r>
      <w:proofErr w:type="spellStart"/>
      <w:r w:rsidRPr="006D62EF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6D62EF">
        <w:rPr>
          <w:rFonts w:ascii="Times New Roman" w:eastAsia="Calibri" w:hAnsi="Times New Roman" w:cs="Times New Roman"/>
          <w:sz w:val="28"/>
          <w:szCs w:val="28"/>
        </w:rPr>
        <w:t xml:space="preserve"> a Liniilor directoare și specificațiilor din 2011 pentru dispozitive suplimentare destinate modernizării echipamentului de filtrare a hidrocarburilor realizat în conformitate cu Rezoluția MEPC.60(33), adoptate de Organizația Maritimă Internațională prin Rezoluția MEPC.205(62) a Comitetului pentru protecția mediului marin din 15 iulie 2011</w:t>
      </w:r>
      <w:r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6D62EF" w:rsidRDefault="006D62EF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2EF" w:rsidRDefault="00C20C0C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B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853B5A" w:rsidRPr="00853B5A">
        <w:rPr>
          <w:rFonts w:ascii="Times New Roman" w:eastAsia="Calibri" w:hAnsi="Times New Roman" w:cs="Times New Roman"/>
          <w:sz w:val="28"/>
          <w:szCs w:val="28"/>
        </w:rPr>
        <w:t xml:space="preserve"> Articolul 1 se modifică </w:t>
      </w:r>
      <w:r w:rsidR="00AD1B62" w:rsidRPr="00853B5A">
        <w:rPr>
          <w:rFonts w:ascii="Times New Roman" w:eastAsia="Calibri" w:hAnsi="Times New Roman" w:cs="Times New Roman"/>
          <w:sz w:val="28"/>
          <w:szCs w:val="28"/>
        </w:rPr>
        <w:t>și</w:t>
      </w:r>
      <w:r w:rsidR="00853B5A" w:rsidRPr="00853B5A">
        <w:rPr>
          <w:rFonts w:ascii="Times New Roman" w:eastAsia="Calibri" w:hAnsi="Times New Roman" w:cs="Times New Roman"/>
          <w:sz w:val="28"/>
          <w:szCs w:val="28"/>
        </w:rPr>
        <w:t xml:space="preserve"> va avea următorul cuprins:</w:t>
      </w:r>
    </w:p>
    <w:p w:rsidR="0017518A" w:rsidRDefault="0017518A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AEE" w:rsidRDefault="009F6E32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„Art. 1 </w:t>
      </w:r>
      <w:r w:rsidR="00256AE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AEE">
        <w:rPr>
          <w:rFonts w:ascii="Times New Roman" w:eastAsia="Calibri" w:hAnsi="Times New Roman" w:cs="Times New Roman"/>
          <w:sz w:val="28"/>
          <w:szCs w:val="28"/>
        </w:rPr>
        <w:t xml:space="preserve">(1) </w:t>
      </w:r>
      <w:r w:rsidRPr="009F6E32">
        <w:rPr>
          <w:rFonts w:ascii="Times New Roman" w:eastAsia="Calibri" w:hAnsi="Times New Roman" w:cs="Times New Roman"/>
          <w:sz w:val="28"/>
          <w:szCs w:val="28"/>
        </w:rPr>
        <w:t xml:space="preserve">Se publică Liniile directoare </w:t>
      </w:r>
      <w:r w:rsidR="00AD1B62" w:rsidRPr="009F6E32">
        <w:rPr>
          <w:rFonts w:ascii="Times New Roman" w:eastAsia="Calibri" w:hAnsi="Times New Roman" w:cs="Times New Roman"/>
          <w:sz w:val="28"/>
          <w:szCs w:val="28"/>
        </w:rPr>
        <w:t>și</w:t>
      </w:r>
      <w:r w:rsidRPr="009F6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B62" w:rsidRPr="009F6E32">
        <w:rPr>
          <w:rFonts w:ascii="Times New Roman" w:eastAsia="Calibri" w:hAnsi="Times New Roman" w:cs="Times New Roman"/>
          <w:sz w:val="28"/>
          <w:szCs w:val="28"/>
        </w:rPr>
        <w:t>specificațiile</w:t>
      </w:r>
      <w:r w:rsidRPr="009F6E32">
        <w:rPr>
          <w:rFonts w:ascii="Times New Roman" w:eastAsia="Calibri" w:hAnsi="Times New Roman" w:cs="Times New Roman"/>
          <w:sz w:val="28"/>
          <w:szCs w:val="28"/>
        </w:rPr>
        <w:t xml:space="preserve"> revizuite privind echipamentul de prevenire a poluării destinat apei de santină din compartimentul de </w:t>
      </w:r>
      <w:r w:rsidR="00AD1B62" w:rsidRPr="009F6E32">
        <w:rPr>
          <w:rFonts w:ascii="Times New Roman" w:eastAsia="Calibri" w:hAnsi="Times New Roman" w:cs="Times New Roman"/>
          <w:sz w:val="28"/>
          <w:szCs w:val="28"/>
        </w:rPr>
        <w:t>mașini</w:t>
      </w:r>
      <w:r w:rsidRPr="009F6E32">
        <w:rPr>
          <w:rFonts w:ascii="Times New Roman" w:eastAsia="Calibri" w:hAnsi="Times New Roman" w:cs="Times New Roman"/>
          <w:sz w:val="28"/>
          <w:szCs w:val="28"/>
        </w:rPr>
        <w:t xml:space="preserve"> al navelor, adoptate de </w:t>
      </w:r>
      <w:r w:rsidR="00AD1B62" w:rsidRPr="009F6E32">
        <w:rPr>
          <w:rFonts w:ascii="Times New Roman" w:eastAsia="Calibri" w:hAnsi="Times New Roman" w:cs="Times New Roman"/>
          <w:sz w:val="28"/>
          <w:szCs w:val="28"/>
        </w:rPr>
        <w:t>Organizația</w:t>
      </w:r>
      <w:r w:rsidRPr="009F6E32">
        <w:rPr>
          <w:rFonts w:ascii="Times New Roman" w:eastAsia="Calibri" w:hAnsi="Times New Roman" w:cs="Times New Roman"/>
          <w:sz w:val="28"/>
          <w:szCs w:val="28"/>
        </w:rPr>
        <w:t xml:space="preserve"> Maritimă </w:t>
      </w:r>
      <w:r w:rsidR="00AD1B62" w:rsidRPr="009F6E32">
        <w:rPr>
          <w:rFonts w:ascii="Times New Roman" w:eastAsia="Calibri" w:hAnsi="Times New Roman" w:cs="Times New Roman"/>
          <w:sz w:val="28"/>
          <w:szCs w:val="28"/>
        </w:rPr>
        <w:t>Internațională</w:t>
      </w:r>
      <w:r w:rsidRPr="009F6E32">
        <w:rPr>
          <w:rFonts w:ascii="Times New Roman" w:eastAsia="Calibri" w:hAnsi="Times New Roman" w:cs="Times New Roman"/>
          <w:sz w:val="28"/>
          <w:szCs w:val="28"/>
        </w:rPr>
        <w:t xml:space="preserve"> prin </w:t>
      </w:r>
      <w:r w:rsidR="00AD1B62" w:rsidRPr="009F6E32">
        <w:rPr>
          <w:rFonts w:ascii="Times New Roman" w:eastAsia="Calibri" w:hAnsi="Times New Roman" w:cs="Times New Roman"/>
          <w:sz w:val="28"/>
          <w:szCs w:val="28"/>
        </w:rPr>
        <w:t>Rezoluția</w:t>
      </w:r>
      <w:r w:rsidRPr="009F6E32">
        <w:rPr>
          <w:rFonts w:ascii="Times New Roman" w:eastAsia="Calibri" w:hAnsi="Times New Roman" w:cs="Times New Roman"/>
          <w:sz w:val="28"/>
          <w:szCs w:val="28"/>
        </w:rPr>
        <w:t xml:space="preserve"> MEPC.107(49) a Comitetului pentru </w:t>
      </w:r>
      <w:r w:rsidR="00AD1B62" w:rsidRPr="009F6E32">
        <w:rPr>
          <w:rFonts w:ascii="Times New Roman" w:eastAsia="Calibri" w:hAnsi="Times New Roman" w:cs="Times New Roman"/>
          <w:sz w:val="28"/>
          <w:szCs w:val="28"/>
        </w:rPr>
        <w:t>protecția</w:t>
      </w:r>
      <w:r w:rsidRPr="009F6E32">
        <w:rPr>
          <w:rFonts w:ascii="Times New Roman" w:eastAsia="Calibri" w:hAnsi="Times New Roman" w:cs="Times New Roman"/>
          <w:sz w:val="28"/>
          <w:szCs w:val="28"/>
        </w:rPr>
        <w:t xml:space="preserve"> mediului marin din 18 iulie 2003</w:t>
      </w:r>
      <w:r w:rsidR="00207E8A">
        <w:rPr>
          <w:rFonts w:ascii="Times New Roman" w:eastAsia="Calibri" w:hAnsi="Times New Roman" w:cs="Times New Roman"/>
          <w:sz w:val="28"/>
          <w:szCs w:val="28"/>
        </w:rPr>
        <w:t>,</w:t>
      </w:r>
      <w:r w:rsidR="009C68B1" w:rsidRPr="009C68B1">
        <w:t xml:space="preserve"> </w:t>
      </w:r>
      <w:r w:rsidR="009C68B1" w:rsidRPr="009C68B1">
        <w:rPr>
          <w:rFonts w:ascii="Times New Roman" w:eastAsia="Calibri" w:hAnsi="Times New Roman" w:cs="Times New Roman"/>
          <w:sz w:val="28"/>
          <w:szCs w:val="28"/>
        </w:rPr>
        <w:t>prevăzută în anexa nr. 1</w:t>
      </w:r>
      <w:r w:rsidR="00256A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18A" w:rsidRDefault="0017518A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AEE" w:rsidRDefault="00256AEE" w:rsidP="00396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(2)</w:t>
      </w:r>
      <w:r w:rsidR="009F6E32" w:rsidRPr="009F6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AEE">
        <w:rPr>
          <w:rFonts w:ascii="Times New Roman" w:eastAsia="Calibri" w:hAnsi="Times New Roman" w:cs="Times New Roman"/>
          <w:sz w:val="28"/>
          <w:szCs w:val="28"/>
        </w:rPr>
        <w:t xml:space="preserve">Se publică 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notele de orientare pentru implementarea armonizată a Liniilor directoare </w:t>
      </w:r>
      <w:r w:rsidR="00AD1B62" w:rsidRPr="005B1171">
        <w:rPr>
          <w:rFonts w:ascii="Times New Roman" w:eastAsia="Calibri" w:hAnsi="Times New Roman" w:cs="Times New Roman"/>
          <w:sz w:val="28"/>
          <w:szCs w:val="28"/>
        </w:rPr>
        <w:t>și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B62" w:rsidRPr="005B1171">
        <w:rPr>
          <w:rFonts w:ascii="Times New Roman" w:eastAsia="Calibri" w:hAnsi="Times New Roman" w:cs="Times New Roman"/>
          <w:sz w:val="28"/>
          <w:szCs w:val="28"/>
        </w:rPr>
        <w:t>specificațiilor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 revizuite </w:t>
      </w:r>
      <w:r w:rsidR="00AD1B62" w:rsidRPr="005B1171">
        <w:rPr>
          <w:rFonts w:ascii="Times New Roman" w:eastAsia="Calibri" w:hAnsi="Times New Roman" w:cs="Times New Roman"/>
          <w:sz w:val="28"/>
          <w:szCs w:val="28"/>
        </w:rPr>
        <w:t>menționate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 la alin. (1), aprobate de către Comitetul pentru </w:t>
      </w:r>
      <w:r w:rsidR="00AD1B62" w:rsidRPr="005B1171">
        <w:rPr>
          <w:rFonts w:ascii="Times New Roman" w:eastAsia="Calibri" w:hAnsi="Times New Roman" w:cs="Times New Roman"/>
          <w:sz w:val="28"/>
          <w:szCs w:val="28"/>
        </w:rPr>
        <w:t>protecția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 mediului marin la cea de-a cincizeci </w:t>
      </w:r>
      <w:r w:rsidR="00AD1B62" w:rsidRPr="005B1171">
        <w:rPr>
          <w:rFonts w:ascii="Times New Roman" w:eastAsia="Calibri" w:hAnsi="Times New Roman" w:cs="Times New Roman"/>
          <w:sz w:val="28"/>
          <w:szCs w:val="28"/>
        </w:rPr>
        <w:t>și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 opta sesiune a sa </w:t>
      </w:r>
      <w:r w:rsidR="00492CCB" w:rsidRPr="005B1171">
        <w:rPr>
          <w:rFonts w:ascii="Times New Roman" w:eastAsia="Calibri" w:hAnsi="Times New Roman" w:cs="Times New Roman"/>
          <w:sz w:val="28"/>
          <w:szCs w:val="28"/>
        </w:rPr>
        <w:t>și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 difuzate prin circulara MEPC.1/Circ.643 din 12 noiembri</w:t>
      </w:r>
      <w:r w:rsidR="005B1171">
        <w:rPr>
          <w:rFonts w:ascii="Times New Roman" w:eastAsia="Calibri" w:hAnsi="Times New Roman" w:cs="Times New Roman"/>
          <w:sz w:val="28"/>
          <w:szCs w:val="28"/>
        </w:rPr>
        <w:t>e 2008, prevăzut</w:t>
      </w:r>
      <w:r w:rsidR="00BB5765">
        <w:rPr>
          <w:rFonts w:ascii="Times New Roman" w:eastAsia="Calibri" w:hAnsi="Times New Roman" w:cs="Times New Roman"/>
          <w:sz w:val="28"/>
          <w:szCs w:val="28"/>
        </w:rPr>
        <w:t>ă</w:t>
      </w:r>
      <w:r w:rsidR="005B1171">
        <w:rPr>
          <w:rFonts w:ascii="Times New Roman" w:eastAsia="Calibri" w:hAnsi="Times New Roman" w:cs="Times New Roman"/>
          <w:sz w:val="28"/>
          <w:szCs w:val="28"/>
        </w:rPr>
        <w:t xml:space="preserve"> în anexa nr. 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</w:p>
    <w:p w:rsidR="0017518A" w:rsidRDefault="0017518A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B5A" w:rsidRDefault="00256AEE" w:rsidP="00396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(3)</w:t>
      </w:r>
      <w:r w:rsidR="009F6E32" w:rsidRPr="009F6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AEE">
        <w:rPr>
          <w:rFonts w:ascii="Times New Roman" w:eastAsia="Calibri" w:hAnsi="Times New Roman" w:cs="Times New Roman"/>
          <w:sz w:val="28"/>
          <w:szCs w:val="28"/>
        </w:rPr>
        <w:t>Se publică</w:t>
      </w:r>
      <w:r w:rsidR="005B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amendamentele la Liniile directoare </w:t>
      </w:r>
      <w:r w:rsidR="00AD1B62" w:rsidRPr="005B1171">
        <w:rPr>
          <w:rFonts w:ascii="Times New Roman" w:eastAsia="Calibri" w:hAnsi="Times New Roman" w:cs="Times New Roman"/>
          <w:sz w:val="28"/>
          <w:szCs w:val="28"/>
        </w:rPr>
        <w:t>și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B62" w:rsidRPr="005B1171">
        <w:rPr>
          <w:rFonts w:ascii="Times New Roman" w:eastAsia="Calibri" w:hAnsi="Times New Roman" w:cs="Times New Roman"/>
          <w:sz w:val="28"/>
          <w:szCs w:val="28"/>
        </w:rPr>
        <w:t>specificațiile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 revizuite menționate la alin. (1), adoptate de Organizația Maritimă Internațională prin </w:t>
      </w:r>
      <w:r w:rsidR="00AD1B62" w:rsidRPr="005B1171">
        <w:rPr>
          <w:rFonts w:ascii="Times New Roman" w:eastAsia="Calibri" w:hAnsi="Times New Roman" w:cs="Times New Roman"/>
          <w:sz w:val="28"/>
          <w:szCs w:val="28"/>
        </w:rPr>
        <w:t>Rezoluția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 MEPC.285(70) a Comitetului pentru </w:t>
      </w:r>
      <w:r w:rsidR="00AD1B62" w:rsidRPr="005B1171">
        <w:rPr>
          <w:rFonts w:ascii="Times New Roman" w:eastAsia="Calibri" w:hAnsi="Times New Roman" w:cs="Times New Roman"/>
          <w:sz w:val="28"/>
          <w:szCs w:val="28"/>
        </w:rPr>
        <w:t>protecția</w:t>
      </w:r>
      <w:r w:rsidR="005B1171" w:rsidRPr="005B1171">
        <w:rPr>
          <w:rFonts w:ascii="Times New Roman" w:eastAsia="Calibri" w:hAnsi="Times New Roman" w:cs="Times New Roman"/>
          <w:sz w:val="28"/>
          <w:szCs w:val="28"/>
        </w:rPr>
        <w:t xml:space="preserve"> mediului marin din 28 octombrie 2016, prevăzută în anexa nr. </w:t>
      </w:r>
      <w:r w:rsidR="005B1171">
        <w:rPr>
          <w:rFonts w:ascii="Times New Roman" w:eastAsia="Calibri" w:hAnsi="Times New Roman" w:cs="Times New Roman"/>
          <w:sz w:val="28"/>
          <w:szCs w:val="28"/>
        </w:rPr>
        <w:t>3.”</w:t>
      </w:r>
    </w:p>
    <w:p w:rsidR="00BB5765" w:rsidRDefault="00BB5765" w:rsidP="00396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AD5" w:rsidRDefault="00601AD5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578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53B5A">
        <w:rPr>
          <w:rFonts w:ascii="Times New Roman" w:eastAsia="Calibri" w:hAnsi="Times New Roman" w:cs="Times New Roman"/>
          <w:sz w:val="28"/>
          <w:szCs w:val="28"/>
        </w:rPr>
        <w:t xml:space="preserve"> Articolul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3B5A">
        <w:rPr>
          <w:rFonts w:ascii="Times New Roman" w:eastAsia="Calibri" w:hAnsi="Times New Roman" w:cs="Times New Roman"/>
          <w:sz w:val="28"/>
          <w:szCs w:val="28"/>
        </w:rPr>
        <w:t xml:space="preserve"> se modifică </w:t>
      </w:r>
      <w:r w:rsidR="00AD1B62" w:rsidRPr="00853B5A">
        <w:rPr>
          <w:rFonts w:ascii="Times New Roman" w:eastAsia="Calibri" w:hAnsi="Times New Roman" w:cs="Times New Roman"/>
          <w:sz w:val="28"/>
          <w:szCs w:val="28"/>
        </w:rPr>
        <w:t>și</w:t>
      </w:r>
      <w:r w:rsidRPr="00853B5A">
        <w:rPr>
          <w:rFonts w:ascii="Times New Roman" w:eastAsia="Calibri" w:hAnsi="Times New Roman" w:cs="Times New Roman"/>
          <w:sz w:val="28"/>
          <w:szCs w:val="28"/>
        </w:rPr>
        <w:t xml:space="preserve"> va avea următorul cuprins:</w:t>
      </w:r>
    </w:p>
    <w:p w:rsidR="0017518A" w:rsidRDefault="0017518A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AD5" w:rsidRDefault="00601AD5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„Art. 2 – </w:t>
      </w:r>
      <w:r w:rsidRPr="00601AD5">
        <w:rPr>
          <w:rFonts w:ascii="Times New Roman" w:eastAsia="Calibri" w:hAnsi="Times New Roman" w:cs="Times New Roman"/>
          <w:sz w:val="28"/>
          <w:szCs w:val="28"/>
        </w:rPr>
        <w:t xml:space="preserve">Se publică Liniile directoare </w:t>
      </w:r>
      <w:r w:rsidR="00AD1B62" w:rsidRPr="00601AD5">
        <w:rPr>
          <w:rFonts w:ascii="Times New Roman" w:eastAsia="Calibri" w:hAnsi="Times New Roman" w:cs="Times New Roman"/>
          <w:sz w:val="28"/>
          <w:szCs w:val="28"/>
        </w:rPr>
        <w:t>și</w:t>
      </w:r>
      <w:r w:rsidRPr="00601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B62" w:rsidRPr="00601AD5">
        <w:rPr>
          <w:rFonts w:ascii="Times New Roman" w:eastAsia="Calibri" w:hAnsi="Times New Roman" w:cs="Times New Roman"/>
          <w:sz w:val="28"/>
          <w:szCs w:val="28"/>
        </w:rPr>
        <w:t>specificațiile</w:t>
      </w:r>
      <w:r w:rsidRPr="00601AD5">
        <w:rPr>
          <w:rFonts w:ascii="Times New Roman" w:eastAsia="Calibri" w:hAnsi="Times New Roman" w:cs="Times New Roman"/>
          <w:sz w:val="28"/>
          <w:szCs w:val="28"/>
        </w:rPr>
        <w:t xml:space="preserve"> din 2011 pentru dispozitive suplimentare destinate modernizării echipamentului de filtrare a hidrocarburilor realizat în conformitate cu </w:t>
      </w:r>
      <w:r w:rsidR="00AD1B62" w:rsidRPr="00601AD5">
        <w:rPr>
          <w:rFonts w:ascii="Times New Roman" w:eastAsia="Calibri" w:hAnsi="Times New Roman" w:cs="Times New Roman"/>
          <w:sz w:val="28"/>
          <w:szCs w:val="28"/>
        </w:rPr>
        <w:t>Rezoluția</w:t>
      </w:r>
      <w:r w:rsidRPr="00601AD5">
        <w:rPr>
          <w:rFonts w:ascii="Times New Roman" w:eastAsia="Calibri" w:hAnsi="Times New Roman" w:cs="Times New Roman"/>
          <w:sz w:val="28"/>
          <w:szCs w:val="28"/>
        </w:rPr>
        <w:t xml:space="preserve"> MEPC.60(33), adoptate de </w:t>
      </w:r>
      <w:r w:rsidR="00AD1B62" w:rsidRPr="00601AD5">
        <w:rPr>
          <w:rFonts w:ascii="Times New Roman" w:eastAsia="Calibri" w:hAnsi="Times New Roman" w:cs="Times New Roman"/>
          <w:sz w:val="28"/>
          <w:szCs w:val="28"/>
        </w:rPr>
        <w:t>Organizația</w:t>
      </w:r>
      <w:r w:rsidRPr="00601AD5">
        <w:rPr>
          <w:rFonts w:ascii="Times New Roman" w:eastAsia="Calibri" w:hAnsi="Times New Roman" w:cs="Times New Roman"/>
          <w:sz w:val="28"/>
          <w:szCs w:val="28"/>
        </w:rPr>
        <w:t xml:space="preserve"> Maritimă </w:t>
      </w:r>
      <w:r w:rsidR="00AD1B62" w:rsidRPr="00601AD5">
        <w:rPr>
          <w:rFonts w:ascii="Times New Roman" w:eastAsia="Calibri" w:hAnsi="Times New Roman" w:cs="Times New Roman"/>
          <w:sz w:val="28"/>
          <w:szCs w:val="28"/>
        </w:rPr>
        <w:t>Internațională</w:t>
      </w:r>
      <w:r w:rsidRPr="00601AD5">
        <w:rPr>
          <w:rFonts w:ascii="Times New Roman" w:eastAsia="Calibri" w:hAnsi="Times New Roman" w:cs="Times New Roman"/>
          <w:sz w:val="28"/>
          <w:szCs w:val="28"/>
        </w:rPr>
        <w:t xml:space="preserve"> prin </w:t>
      </w:r>
      <w:r w:rsidR="00AD1B62" w:rsidRPr="00601AD5">
        <w:rPr>
          <w:rFonts w:ascii="Times New Roman" w:eastAsia="Calibri" w:hAnsi="Times New Roman" w:cs="Times New Roman"/>
          <w:sz w:val="28"/>
          <w:szCs w:val="28"/>
        </w:rPr>
        <w:t>Rezoluția</w:t>
      </w:r>
      <w:r w:rsidRPr="00601AD5">
        <w:rPr>
          <w:rFonts w:ascii="Times New Roman" w:eastAsia="Calibri" w:hAnsi="Times New Roman" w:cs="Times New Roman"/>
          <w:sz w:val="28"/>
          <w:szCs w:val="28"/>
        </w:rPr>
        <w:t xml:space="preserve"> MEPC.205(62) a Comitetului pentru </w:t>
      </w:r>
      <w:r w:rsidR="00AD1B62" w:rsidRPr="00601AD5">
        <w:rPr>
          <w:rFonts w:ascii="Times New Roman" w:eastAsia="Calibri" w:hAnsi="Times New Roman" w:cs="Times New Roman"/>
          <w:sz w:val="28"/>
          <w:szCs w:val="28"/>
        </w:rPr>
        <w:t>protecția</w:t>
      </w:r>
      <w:r w:rsidRPr="00601AD5">
        <w:rPr>
          <w:rFonts w:ascii="Times New Roman" w:eastAsia="Calibri" w:hAnsi="Times New Roman" w:cs="Times New Roman"/>
          <w:sz w:val="28"/>
          <w:szCs w:val="28"/>
        </w:rPr>
        <w:t xml:space="preserve"> mediului marin din 15 iuli</w:t>
      </w:r>
      <w:r>
        <w:rPr>
          <w:rFonts w:ascii="Times New Roman" w:eastAsia="Calibri" w:hAnsi="Times New Roman" w:cs="Times New Roman"/>
          <w:sz w:val="28"/>
          <w:szCs w:val="28"/>
        </w:rPr>
        <w:t>e 2011, prevăzut</w:t>
      </w:r>
      <w:r w:rsidR="00C7062C">
        <w:rPr>
          <w:rFonts w:ascii="Times New Roman" w:eastAsia="Calibri" w:hAnsi="Times New Roman" w:cs="Times New Roman"/>
          <w:sz w:val="28"/>
          <w:szCs w:val="28"/>
        </w:rPr>
        <w:t>ă</w:t>
      </w:r>
      <w:r>
        <w:rPr>
          <w:rFonts w:ascii="Times New Roman" w:eastAsia="Calibri" w:hAnsi="Times New Roman" w:cs="Times New Roman"/>
          <w:sz w:val="28"/>
          <w:szCs w:val="28"/>
        </w:rPr>
        <w:t xml:space="preserve"> în anexa nr. 4.”</w:t>
      </w:r>
    </w:p>
    <w:p w:rsidR="00601AD5" w:rsidRDefault="00601AD5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F0A" w:rsidRDefault="00F14F0A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578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53B5A">
        <w:rPr>
          <w:rFonts w:ascii="Times New Roman" w:eastAsia="Calibri" w:hAnsi="Times New Roman" w:cs="Times New Roman"/>
          <w:sz w:val="28"/>
          <w:szCs w:val="28"/>
        </w:rPr>
        <w:t xml:space="preserve"> Articolul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53B5A">
        <w:rPr>
          <w:rFonts w:ascii="Times New Roman" w:eastAsia="Calibri" w:hAnsi="Times New Roman" w:cs="Times New Roman"/>
          <w:sz w:val="28"/>
          <w:szCs w:val="28"/>
        </w:rPr>
        <w:t xml:space="preserve"> se modifică </w:t>
      </w:r>
      <w:r w:rsidR="00AD1B62" w:rsidRPr="00853B5A">
        <w:rPr>
          <w:rFonts w:ascii="Times New Roman" w:eastAsia="Calibri" w:hAnsi="Times New Roman" w:cs="Times New Roman"/>
          <w:sz w:val="28"/>
          <w:szCs w:val="28"/>
        </w:rPr>
        <w:t>și</w:t>
      </w:r>
      <w:r w:rsidRPr="00853B5A">
        <w:rPr>
          <w:rFonts w:ascii="Times New Roman" w:eastAsia="Calibri" w:hAnsi="Times New Roman" w:cs="Times New Roman"/>
          <w:sz w:val="28"/>
          <w:szCs w:val="28"/>
        </w:rPr>
        <w:t xml:space="preserve"> va avea următorul cuprins:</w:t>
      </w:r>
    </w:p>
    <w:p w:rsidR="0017518A" w:rsidRDefault="0017518A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AD5" w:rsidRDefault="00F14F0A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„Art. 4 – </w:t>
      </w:r>
      <w:r w:rsidRPr="00F14F0A">
        <w:rPr>
          <w:rFonts w:ascii="Times New Roman" w:eastAsia="Calibri" w:hAnsi="Times New Roman" w:cs="Times New Roman"/>
          <w:sz w:val="28"/>
          <w:szCs w:val="28"/>
        </w:rPr>
        <w:t xml:space="preserve">Anexele nr. 1 -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14F0A">
        <w:rPr>
          <w:rFonts w:ascii="Times New Roman" w:eastAsia="Calibri" w:hAnsi="Times New Roman" w:cs="Times New Roman"/>
          <w:sz w:val="28"/>
          <w:szCs w:val="28"/>
        </w:rPr>
        <w:t xml:space="preserve"> fac parte integrantă din prezentul ordin</w:t>
      </w:r>
      <w:r>
        <w:rPr>
          <w:rFonts w:ascii="Times New Roman" w:eastAsia="Calibri" w:hAnsi="Times New Roman" w:cs="Times New Roman"/>
          <w:sz w:val="28"/>
          <w:szCs w:val="28"/>
        </w:rPr>
        <w:t>.”</w:t>
      </w:r>
    </w:p>
    <w:p w:rsidR="00601AD5" w:rsidRDefault="00601AD5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B5A" w:rsidRDefault="00F14F0A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D4329" w:rsidRPr="00D578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D4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8B1">
        <w:rPr>
          <w:rFonts w:ascii="Times New Roman" w:eastAsia="Calibri" w:hAnsi="Times New Roman" w:cs="Times New Roman"/>
          <w:sz w:val="28"/>
          <w:szCs w:val="28"/>
        </w:rPr>
        <w:t>După a</w:t>
      </w:r>
      <w:r w:rsidR="004D4329">
        <w:rPr>
          <w:rFonts w:ascii="Times New Roman" w:eastAsia="Calibri" w:hAnsi="Times New Roman" w:cs="Times New Roman"/>
          <w:sz w:val="28"/>
          <w:szCs w:val="28"/>
        </w:rPr>
        <w:t xml:space="preserve">nexa nr. </w:t>
      </w:r>
      <w:r w:rsidR="005B1171">
        <w:rPr>
          <w:rFonts w:ascii="Times New Roman" w:eastAsia="Calibri" w:hAnsi="Times New Roman" w:cs="Times New Roman"/>
          <w:sz w:val="28"/>
          <w:szCs w:val="28"/>
        </w:rPr>
        <w:t>2</w:t>
      </w:r>
      <w:r w:rsidR="00700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8B1" w:rsidRPr="009C68B1">
        <w:rPr>
          <w:rFonts w:ascii="Times New Roman" w:eastAsia="Calibri" w:hAnsi="Times New Roman" w:cs="Times New Roman"/>
          <w:sz w:val="28"/>
          <w:szCs w:val="28"/>
        </w:rPr>
        <w:t xml:space="preserve">se introduce o nouă anexă, anexa nr. </w:t>
      </w:r>
      <w:r w:rsidR="005B1171">
        <w:rPr>
          <w:rFonts w:ascii="Times New Roman" w:eastAsia="Calibri" w:hAnsi="Times New Roman" w:cs="Times New Roman"/>
          <w:sz w:val="28"/>
          <w:szCs w:val="28"/>
        </w:rPr>
        <w:t>3</w:t>
      </w:r>
      <w:r w:rsidR="009C68B1" w:rsidRPr="009C68B1">
        <w:rPr>
          <w:rFonts w:ascii="Times New Roman" w:eastAsia="Calibri" w:hAnsi="Times New Roman" w:cs="Times New Roman"/>
          <w:sz w:val="28"/>
          <w:szCs w:val="28"/>
        </w:rPr>
        <w:t xml:space="preserve">, având cuprinsul prevăzut în anexa </w:t>
      </w:r>
      <w:r w:rsidR="00396661">
        <w:rPr>
          <w:rFonts w:ascii="Times New Roman" w:eastAsia="Calibri" w:hAnsi="Times New Roman" w:cs="Times New Roman"/>
          <w:sz w:val="28"/>
          <w:szCs w:val="28"/>
        </w:rPr>
        <w:t>la prezentul ordin</w:t>
      </w:r>
      <w:r w:rsidR="009D14DD" w:rsidRPr="009D14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AD5" w:rsidRDefault="00601AD5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4EA" w:rsidRDefault="00F14F0A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834EA" w:rsidRPr="004834E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B1171">
        <w:rPr>
          <w:rFonts w:ascii="Times New Roman" w:eastAsia="Calibri" w:hAnsi="Times New Roman" w:cs="Times New Roman"/>
          <w:sz w:val="28"/>
          <w:szCs w:val="28"/>
        </w:rPr>
        <w:t xml:space="preserve"> Anexa nr. </w:t>
      </w:r>
      <w:r w:rsidR="004834EA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396661">
        <w:rPr>
          <w:rFonts w:ascii="Times New Roman" w:eastAsia="Calibri" w:hAnsi="Times New Roman" w:cs="Times New Roman"/>
          <w:sz w:val="28"/>
          <w:szCs w:val="28"/>
        </w:rPr>
        <w:t xml:space="preserve"> la Ordinul ministrului nr.213/2013 se renumerotează și devine anexa nr.4.</w:t>
      </w:r>
    </w:p>
    <w:p w:rsidR="006D62EF" w:rsidRDefault="006D62EF" w:rsidP="0039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469" w:rsidRPr="00232E87" w:rsidRDefault="00A94469" w:rsidP="00396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407">
        <w:rPr>
          <w:rFonts w:ascii="Times New Roman" w:eastAsia="Calibri" w:hAnsi="Times New Roman" w:cs="Times New Roman"/>
          <w:b/>
          <w:sz w:val="28"/>
          <w:szCs w:val="28"/>
        </w:rPr>
        <w:t xml:space="preserve">Art. </w:t>
      </w:r>
      <w:r w:rsidR="0001131C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033407">
        <w:rPr>
          <w:rFonts w:ascii="Times New Roman" w:eastAsia="Calibri" w:hAnsi="Times New Roman" w:cs="Times New Roman"/>
          <w:sz w:val="28"/>
          <w:szCs w:val="28"/>
        </w:rPr>
        <w:t xml:space="preserve"> – Prezentul ordin se publică în Monitorul Oficial al României, Partea I</w:t>
      </w:r>
      <w:r w:rsidRPr="00232E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469" w:rsidRDefault="00A94469" w:rsidP="0039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2F1" w:rsidRPr="008A0B5C" w:rsidRDefault="009D12F1" w:rsidP="0039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96C" w:rsidRDefault="00EA096C" w:rsidP="00396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96C" w:rsidRPr="00EA096C" w:rsidRDefault="00EA096C" w:rsidP="00396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96C">
        <w:rPr>
          <w:rFonts w:ascii="Times New Roman" w:eastAsia="Times New Roman" w:hAnsi="Times New Roman" w:cs="Times New Roman"/>
          <w:b/>
          <w:sz w:val="28"/>
          <w:szCs w:val="28"/>
        </w:rPr>
        <w:t>MINISTRU</w:t>
      </w:r>
      <w:r w:rsidR="00EC166C">
        <w:rPr>
          <w:rFonts w:ascii="Times New Roman" w:eastAsia="Times New Roman" w:hAnsi="Times New Roman" w:cs="Times New Roman"/>
          <w:b/>
          <w:sz w:val="28"/>
          <w:szCs w:val="28"/>
        </w:rPr>
        <w:t>L TRANSPORTURILOR</w:t>
      </w:r>
    </w:p>
    <w:p w:rsidR="00837F3C" w:rsidRPr="008A0B5C" w:rsidRDefault="00516B44" w:rsidP="0039666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LUCIAN ȘOVA</w:t>
      </w:r>
      <w:r w:rsidR="00837F3C" w:rsidRPr="008A0B5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E6FB1" w:rsidRPr="008A0B5C" w:rsidRDefault="003E6FB1" w:rsidP="0039666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690" w:rsidRDefault="00651690" w:rsidP="0039666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370635" w:rsidRPr="00F2366F" w:rsidTr="00A21F27">
        <w:trPr>
          <w:trHeight w:val="1403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SECRETAR DE STAT</w:t>
            </w:r>
          </w:p>
          <w:p w:rsidR="00370635" w:rsidRPr="00F2366F" w:rsidRDefault="00370635" w:rsidP="0039666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Ionel MINEA</w:t>
            </w:r>
          </w:p>
          <w:p w:rsidR="00370635" w:rsidRPr="00F2366F" w:rsidRDefault="00370635" w:rsidP="00396661">
            <w:pPr>
              <w:spacing w:line="240" w:lineRule="auto"/>
              <w:jc w:val="center"/>
              <w:rPr>
                <w:b/>
              </w:rPr>
            </w:pPr>
          </w:p>
          <w:p w:rsidR="00370635" w:rsidRPr="00F2366F" w:rsidRDefault="00370635" w:rsidP="00396661">
            <w:pPr>
              <w:spacing w:line="240" w:lineRule="auto"/>
              <w:rPr>
                <w:b/>
              </w:rPr>
            </w:pPr>
          </w:p>
        </w:tc>
      </w:tr>
      <w:tr w:rsidR="00370635" w:rsidRPr="00F2366F" w:rsidTr="00A21F27">
        <w:trPr>
          <w:trHeight w:val="83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</w:rPr>
            </w:pPr>
            <w:r w:rsidRPr="00F2366F">
              <w:rPr>
                <w:b/>
              </w:rPr>
              <w:t>SECRETAR GENERAL</w:t>
            </w:r>
          </w:p>
          <w:p w:rsidR="00370635" w:rsidRPr="00F2366F" w:rsidRDefault="004C79E4" w:rsidP="0039666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Elena PETRAȘCU</w:t>
            </w:r>
            <w:bookmarkStart w:id="0" w:name="_GoBack"/>
            <w:bookmarkEnd w:id="0"/>
          </w:p>
          <w:p w:rsidR="00370635" w:rsidRDefault="00370635" w:rsidP="00396661">
            <w:pPr>
              <w:spacing w:line="240" w:lineRule="auto"/>
              <w:jc w:val="center"/>
              <w:rPr>
                <w:b/>
              </w:rPr>
            </w:pPr>
          </w:p>
          <w:p w:rsidR="00370635" w:rsidRPr="00F2366F" w:rsidRDefault="00370635" w:rsidP="00396661">
            <w:pPr>
              <w:spacing w:line="240" w:lineRule="auto"/>
              <w:jc w:val="center"/>
              <w:rPr>
                <w:b/>
              </w:rPr>
            </w:pPr>
          </w:p>
        </w:tc>
      </w:tr>
      <w:tr w:rsidR="00370635" w:rsidRPr="00F2366F" w:rsidTr="00A21F27">
        <w:trPr>
          <w:trHeight w:val="579"/>
        </w:trPr>
        <w:tc>
          <w:tcPr>
            <w:tcW w:w="3128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</w:rPr>
            </w:pPr>
            <w:r w:rsidRPr="00F2366F">
              <w:rPr>
                <w:b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</w:rPr>
            </w:pPr>
            <w:r w:rsidRPr="00F2366F">
              <w:rPr>
                <w:b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</w:rPr>
            </w:pPr>
            <w:r w:rsidRPr="00F2366F">
              <w:rPr>
                <w:b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</w:rPr>
            </w:pPr>
            <w:r w:rsidRPr="00F2366F">
              <w:rPr>
                <w:b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</w:rPr>
            </w:pPr>
            <w:r w:rsidRPr="00F2366F">
              <w:rPr>
                <w:b/>
              </w:rPr>
              <w:t>NR. ÎNREGISTRARE</w:t>
            </w:r>
          </w:p>
        </w:tc>
      </w:tr>
      <w:tr w:rsidR="00370635" w:rsidRPr="00F2366F" w:rsidTr="00A21F27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rPr>
                <w:b/>
                <w:u w:val="single"/>
              </w:rPr>
            </w:pPr>
            <w:r w:rsidRPr="00F2366F">
              <w:rPr>
                <w:b/>
              </w:rPr>
              <w:t>Direcția Generală Anticorupție în Transporturi, Administrativ și Juridic</w:t>
            </w:r>
          </w:p>
        </w:tc>
      </w:tr>
      <w:tr w:rsidR="00370635" w:rsidRPr="00F2366F" w:rsidTr="00A21F27">
        <w:trPr>
          <w:trHeight w:val="336"/>
        </w:trPr>
        <w:tc>
          <w:tcPr>
            <w:tcW w:w="3128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</w:pPr>
            <w:r>
              <w:t>Anișoara CORNILĂ</w:t>
            </w:r>
          </w:p>
          <w:p w:rsidR="00370635" w:rsidRPr="00F2366F" w:rsidRDefault="00370635" w:rsidP="00396661">
            <w:pPr>
              <w:spacing w:line="240" w:lineRule="auto"/>
            </w:pPr>
          </w:p>
        </w:tc>
        <w:tc>
          <w:tcPr>
            <w:tcW w:w="155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u w:val="single"/>
              </w:rPr>
            </w:pPr>
            <w:r w:rsidRPr="00F2366F">
              <w:t>Director General</w:t>
            </w:r>
          </w:p>
        </w:tc>
        <w:tc>
          <w:tcPr>
            <w:tcW w:w="1791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370635" w:rsidRPr="00F2366F" w:rsidTr="00A21F27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rPr>
                <w:b/>
              </w:rPr>
            </w:pPr>
            <w:r w:rsidRPr="00F2366F">
              <w:rPr>
                <w:b/>
              </w:rPr>
              <w:t>Direcția Afaceri Europene și Relații Internaționale</w:t>
            </w:r>
          </w:p>
        </w:tc>
      </w:tr>
      <w:tr w:rsidR="00370635" w:rsidRPr="00F2366F" w:rsidTr="00A21F27">
        <w:trPr>
          <w:trHeight w:val="20"/>
        </w:trPr>
        <w:tc>
          <w:tcPr>
            <w:tcW w:w="3128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</w:pPr>
            <w:r w:rsidRPr="00F2366F">
              <w:t>Gabriela SÎRBU</w:t>
            </w:r>
          </w:p>
          <w:p w:rsidR="00370635" w:rsidRPr="00F2366F" w:rsidRDefault="00370635" w:rsidP="00396661">
            <w:pPr>
              <w:spacing w:line="240" w:lineRule="auto"/>
            </w:pPr>
          </w:p>
          <w:p w:rsidR="00370635" w:rsidRPr="00F2366F" w:rsidRDefault="00370635" w:rsidP="00396661">
            <w:pPr>
              <w:spacing w:line="240" w:lineRule="auto"/>
            </w:pPr>
          </w:p>
        </w:tc>
        <w:tc>
          <w:tcPr>
            <w:tcW w:w="155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</w:pPr>
            <w:r w:rsidRPr="00F2366F">
              <w:t>Director</w:t>
            </w:r>
          </w:p>
        </w:tc>
        <w:tc>
          <w:tcPr>
            <w:tcW w:w="1791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370635" w:rsidRPr="00F2366F" w:rsidTr="00A21F27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rPr>
                <w:b/>
              </w:rPr>
            </w:pPr>
            <w:r w:rsidRPr="00F2366F">
              <w:rPr>
                <w:b/>
              </w:rPr>
              <w:t xml:space="preserve">Direcția </w:t>
            </w:r>
            <w:proofErr w:type="spellStart"/>
            <w:r w:rsidRPr="00F2366F">
              <w:rPr>
                <w:b/>
              </w:rPr>
              <w:t>Tansport</w:t>
            </w:r>
            <w:proofErr w:type="spellEnd"/>
            <w:r w:rsidRPr="00F2366F">
              <w:rPr>
                <w:b/>
              </w:rPr>
              <w:t xml:space="preserve"> Naval</w:t>
            </w:r>
          </w:p>
        </w:tc>
      </w:tr>
      <w:tr w:rsidR="00370635" w:rsidRPr="00F2366F" w:rsidTr="00A21F27">
        <w:trPr>
          <w:trHeight w:val="20"/>
        </w:trPr>
        <w:tc>
          <w:tcPr>
            <w:tcW w:w="3128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</w:pPr>
            <w:r w:rsidRPr="00F2366F">
              <w:t>Gabriela MURGEANU</w:t>
            </w:r>
          </w:p>
          <w:p w:rsidR="00370635" w:rsidRPr="00F2366F" w:rsidRDefault="00370635" w:rsidP="00396661">
            <w:pPr>
              <w:spacing w:line="240" w:lineRule="auto"/>
            </w:pPr>
          </w:p>
          <w:p w:rsidR="00370635" w:rsidRPr="00F2366F" w:rsidRDefault="00370635" w:rsidP="00396661">
            <w:pPr>
              <w:spacing w:line="240" w:lineRule="auto"/>
            </w:pPr>
          </w:p>
        </w:tc>
        <w:tc>
          <w:tcPr>
            <w:tcW w:w="155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  <w:u w:val="single"/>
              </w:rPr>
            </w:pPr>
            <w:r w:rsidRPr="00F2366F">
              <w:t>Director</w:t>
            </w:r>
          </w:p>
        </w:tc>
        <w:tc>
          <w:tcPr>
            <w:tcW w:w="1791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370635" w:rsidRPr="00F2366F" w:rsidRDefault="00370635" w:rsidP="00396661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</w:tr>
    </w:tbl>
    <w:p w:rsidR="00370635" w:rsidRDefault="00370635" w:rsidP="0039666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70635" w:rsidSect="00657363">
      <w:footerReference w:type="default" r:id="rId8"/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A6" w:rsidRDefault="00D234A6" w:rsidP="00B67A89">
      <w:pPr>
        <w:spacing w:after="0" w:line="240" w:lineRule="auto"/>
      </w:pPr>
      <w:r>
        <w:separator/>
      </w:r>
    </w:p>
  </w:endnote>
  <w:endnote w:type="continuationSeparator" w:id="0">
    <w:p w:rsidR="00D234A6" w:rsidRDefault="00D234A6" w:rsidP="00B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511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042" w:rsidRDefault="00F560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A89" w:rsidRDefault="00B67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A6" w:rsidRDefault="00D234A6" w:rsidP="00B67A89">
      <w:pPr>
        <w:spacing w:after="0" w:line="240" w:lineRule="auto"/>
      </w:pPr>
      <w:r>
        <w:separator/>
      </w:r>
    </w:p>
  </w:footnote>
  <w:footnote w:type="continuationSeparator" w:id="0">
    <w:p w:rsidR="00D234A6" w:rsidRDefault="00D234A6" w:rsidP="00B6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882"/>
    <w:multiLevelType w:val="hybridMultilevel"/>
    <w:tmpl w:val="A2541F86"/>
    <w:lvl w:ilvl="0" w:tplc="1D34B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2B29"/>
    <w:multiLevelType w:val="hybridMultilevel"/>
    <w:tmpl w:val="4B0EDBE8"/>
    <w:lvl w:ilvl="0" w:tplc="00FCFF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9"/>
    <w:rsid w:val="00002D88"/>
    <w:rsid w:val="00005EB5"/>
    <w:rsid w:val="0001131C"/>
    <w:rsid w:val="00023EFB"/>
    <w:rsid w:val="00033407"/>
    <w:rsid w:val="00052537"/>
    <w:rsid w:val="000570A5"/>
    <w:rsid w:val="00074268"/>
    <w:rsid w:val="00087CE4"/>
    <w:rsid w:val="000A1F0C"/>
    <w:rsid w:val="000C099F"/>
    <w:rsid w:val="000C6556"/>
    <w:rsid w:val="000D22F5"/>
    <w:rsid w:val="000E4368"/>
    <w:rsid w:val="000F402C"/>
    <w:rsid w:val="001062E8"/>
    <w:rsid w:val="00113A84"/>
    <w:rsid w:val="00115273"/>
    <w:rsid w:val="00151588"/>
    <w:rsid w:val="0015237B"/>
    <w:rsid w:val="00153FD6"/>
    <w:rsid w:val="00154EBB"/>
    <w:rsid w:val="00161983"/>
    <w:rsid w:val="0016471B"/>
    <w:rsid w:val="00170E57"/>
    <w:rsid w:val="0017518A"/>
    <w:rsid w:val="0017535A"/>
    <w:rsid w:val="001768FD"/>
    <w:rsid w:val="001B7B50"/>
    <w:rsid w:val="001C10A9"/>
    <w:rsid w:val="001C359F"/>
    <w:rsid w:val="001C5CF0"/>
    <w:rsid w:val="001D4982"/>
    <w:rsid w:val="001F1BE1"/>
    <w:rsid w:val="001F4EC2"/>
    <w:rsid w:val="00203FA4"/>
    <w:rsid w:val="00207E8A"/>
    <w:rsid w:val="002157A8"/>
    <w:rsid w:val="00216FA6"/>
    <w:rsid w:val="00232E87"/>
    <w:rsid w:val="00237FB5"/>
    <w:rsid w:val="00246C27"/>
    <w:rsid w:val="00256AEE"/>
    <w:rsid w:val="0028162C"/>
    <w:rsid w:val="002831FC"/>
    <w:rsid w:val="00290450"/>
    <w:rsid w:val="002924CC"/>
    <w:rsid w:val="00296542"/>
    <w:rsid w:val="002A35F0"/>
    <w:rsid w:val="002B22D1"/>
    <w:rsid w:val="002B498C"/>
    <w:rsid w:val="002B5591"/>
    <w:rsid w:val="002C140A"/>
    <w:rsid w:val="002D57FE"/>
    <w:rsid w:val="002E33E1"/>
    <w:rsid w:val="00315452"/>
    <w:rsid w:val="00330A82"/>
    <w:rsid w:val="00352F1D"/>
    <w:rsid w:val="00361DBF"/>
    <w:rsid w:val="0036745F"/>
    <w:rsid w:val="00370635"/>
    <w:rsid w:val="00373F6F"/>
    <w:rsid w:val="00382E81"/>
    <w:rsid w:val="0038618E"/>
    <w:rsid w:val="00386A9B"/>
    <w:rsid w:val="0039126A"/>
    <w:rsid w:val="00391471"/>
    <w:rsid w:val="00396661"/>
    <w:rsid w:val="003A34F5"/>
    <w:rsid w:val="003A3FC5"/>
    <w:rsid w:val="003C2735"/>
    <w:rsid w:val="003E6FB1"/>
    <w:rsid w:val="00402E67"/>
    <w:rsid w:val="00411477"/>
    <w:rsid w:val="00411C97"/>
    <w:rsid w:val="00416642"/>
    <w:rsid w:val="00427841"/>
    <w:rsid w:val="00442695"/>
    <w:rsid w:val="004524F2"/>
    <w:rsid w:val="0046449D"/>
    <w:rsid w:val="004834EA"/>
    <w:rsid w:val="00492CCB"/>
    <w:rsid w:val="00494B8F"/>
    <w:rsid w:val="004B3B15"/>
    <w:rsid w:val="004C79E4"/>
    <w:rsid w:val="004D4329"/>
    <w:rsid w:val="004F179C"/>
    <w:rsid w:val="00506D87"/>
    <w:rsid w:val="00516B44"/>
    <w:rsid w:val="0051792E"/>
    <w:rsid w:val="00525615"/>
    <w:rsid w:val="00530AF3"/>
    <w:rsid w:val="00534D72"/>
    <w:rsid w:val="00544AE4"/>
    <w:rsid w:val="00545FDC"/>
    <w:rsid w:val="00550675"/>
    <w:rsid w:val="00562782"/>
    <w:rsid w:val="00576134"/>
    <w:rsid w:val="00581513"/>
    <w:rsid w:val="005935D5"/>
    <w:rsid w:val="0059780F"/>
    <w:rsid w:val="005A1640"/>
    <w:rsid w:val="005A4CD1"/>
    <w:rsid w:val="005B0362"/>
    <w:rsid w:val="005B1171"/>
    <w:rsid w:val="005B4408"/>
    <w:rsid w:val="005E0F21"/>
    <w:rsid w:val="005E2C7E"/>
    <w:rsid w:val="005E513F"/>
    <w:rsid w:val="005F6362"/>
    <w:rsid w:val="00601AD5"/>
    <w:rsid w:val="006033D7"/>
    <w:rsid w:val="0060490C"/>
    <w:rsid w:val="00605039"/>
    <w:rsid w:val="00605423"/>
    <w:rsid w:val="00614F9B"/>
    <w:rsid w:val="00617C6E"/>
    <w:rsid w:val="0062578F"/>
    <w:rsid w:val="006327A1"/>
    <w:rsid w:val="00642233"/>
    <w:rsid w:val="00642ED6"/>
    <w:rsid w:val="00644258"/>
    <w:rsid w:val="006461EE"/>
    <w:rsid w:val="006509C4"/>
    <w:rsid w:val="00651690"/>
    <w:rsid w:val="00652193"/>
    <w:rsid w:val="00656486"/>
    <w:rsid w:val="00657363"/>
    <w:rsid w:val="006666AE"/>
    <w:rsid w:val="0067498B"/>
    <w:rsid w:val="00683525"/>
    <w:rsid w:val="00691823"/>
    <w:rsid w:val="0069323E"/>
    <w:rsid w:val="006B36A7"/>
    <w:rsid w:val="006C03B8"/>
    <w:rsid w:val="006C46BF"/>
    <w:rsid w:val="006D4B3D"/>
    <w:rsid w:val="006D62EF"/>
    <w:rsid w:val="006D7098"/>
    <w:rsid w:val="006E5D4C"/>
    <w:rsid w:val="006F0D21"/>
    <w:rsid w:val="006F177A"/>
    <w:rsid w:val="006F741B"/>
    <w:rsid w:val="00700552"/>
    <w:rsid w:val="00704BE8"/>
    <w:rsid w:val="00722E1E"/>
    <w:rsid w:val="00740775"/>
    <w:rsid w:val="00791E0B"/>
    <w:rsid w:val="00795292"/>
    <w:rsid w:val="007A37C5"/>
    <w:rsid w:val="007A4983"/>
    <w:rsid w:val="007A53A4"/>
    <w:rsid w:val="007B1149"/>
    <w:rsid w:val="007B1C47"/>
    <w:rsid w:val="007B62E0"/>
    <w:rsid w:val="007F1227"/>
    <w:rsid w:val="007F6896"/>
    <w:rsid w:val="008008CA"/>
    <w:rsid w:val="008072CB"/>
    <w:rsid w:val="00817447"/>
    <w:rsid w:val="00831A55"/>
    <w:rsid w:val="00837F3C"/>
    <w:rsid w:val="0085223D"/>
    <w:rsid w:val="00853B5A"/>
    <w:rsid w:val="0088508E"/>
    <w:rsid w:val="008A0B5C"/>
    <w:rsid w:val="008C0679"/>
    <w:rsid w:val="008E75DD"/>
    <w:rsid w:val="00907233"/>
    <w:rsid w:val="00911DF8"/>
    <w:rsid w:val="009147F0"/>
    <w:rsid w:val="009242AA"/>
    <w:rsid w:val="0093350D"/>
    <w:rsid w:val="00941306"/>
    <w:rsid w:val="00966980"/>
    <w:rsid w:val="0098019B"/>
    <w:rsid w:val="009A4132"/>
    <w:rsid w:val="009C68B1"/>
    <w:rsid w:val="009D12F1"/>
    <w:rsid w:val="009D14DD"/>
    <w:rsid w:val="009F043E"/>
    <w:rsid w:val="009F49A2"/>
    <w:rsid w:val="009F5242"/>
    <w:rsid w:val="009F6E32"/>
    <w:rsid w:val="00A166AE"/>
    <w:rsid w:val="00A30025"/>
    <w:rsid w:val="00A41716"/>
    <w:rsid w:val="00A5008F"/>
    <w:rsid w:val="00A6214B"/>
    <w:rsid w:val="00A77C52"/>
    <w:rsid w:val="00A84E53"/>
    <w:rsid w:val="00A90E7E"/>
    <w:rsid w:val="00A91500"/>
    <w:rsid w:val="00A94469"/>
    <w:rsid w:val="00AA46D8"/>
    <w:rsid w:val="00AA495D"/>
    <w:rsid w:val="00AA66C6"/>
    <w:rsid w:val="00AC5F69"/>
    <w:rsid w:val="00AC632F"/>
    <w:rsid w:val="00AD1B62"/>
    <w:rsid w:val="00AE2AAE"/>
    <w:rsid w:val="00AF21CC"/>
    <w:rsid w:val="00AF75C4"/>
    <w:rsid w:val="00B1119D"/>
    <w:rsid w:val="00B11A20"/>
    <w:rsid w:val="00B317B9"/>
    <w:rsid w:val="00B5637F"/>
    <w:rsid w:val="00B6248A"/>
    <w:rsid w:val="00B6564E"/>
    <w:rsid w:val="00B67A89"/>
    <w:rsid w:val="00B77A4A"/>
    <w:rsid w:val="00B83E69"/>
    <w:rsid w:val="00BB5765"/>
    <w:rsid w:val="00BC5022"/>
    <w:rsid w:val="00C010B6"/>
    <w:rsid w:val="00C20C0C"/>
    <w:rsid w:val="00C469E5"/>
    <w:rsid w:val="00C7062C"/>
    <w:rsid w:val="00C710A3"/>
    <w:rsid w:val="00C8275E"/>
    <w:rsid w:val="00C95961"/>
    <w:rsid w:val="00CB06E0"/>
    <w:rsid w:val="00CB34C6"/>
    <w:rsid w:val="00CB3FF0"/>
    <w:rsid w:val="00CB53F9"/>
    <w:rsid w:val="00CB5EAD"/>
    <w:rsid w:val="00CD19F2"/>
    <w:rsid w:val="00CE63E9"/>
    <w:rsid w:val="00D20DA3"/>
    <w:rsid w:val="00D234A6"/>
    <w:rsid w:val="00D31B84"/>
    <w:rsid w:val="00D4237F"/>
    <w:rsid w:val="00D578BE"/>
    <w:rsid w:val="00D72A34"/>
    <w:rsid w:val="00D75126"/>
    <w:rsid w:val="00D81D25"/>
    <w:rsid w:val="00DD449E"/>
    <w:rsid w:val="00DE1676"/>
    <w:rsid w:val="00DE3E59"/>
    <w:rsid w:val="00DF1137"/>
    <w:rsid w:val="00DF1A22"/>
    <w:rsid w:val="00E046DF"/>
    <w:rsid w:val="00E13712"/>
    <w:rsid w:val="00E14F7B"/>
    <w:rsid w:val="00E40F70"/>
    <w:rsid w:val="00E45B17"/>
    <w:rsid w:val="00E53950"/>
    <w:rsid w:val="00E62F6C"/>
    <w:rsid w:val="00E86192"/>
    <w:rsid w:val="00EA096C"/>
    <w:rsid w:val="00EA3664"/>
    <w:rsid w:val="00EB45C9"/>
    <w:rsid w:val="00EB644F"/>
    <w:rsid w:val="00EB664D"/>
    <w:rsid w:val="00EC0BB9"/>
    <w:rsid w:val="00EC166C"/>
    <w:rsid w:val="00EC5B76"/>
    <w:rsid w:val="00EE75B1"/>
    <w:rsid w:val="00F0234C"/>
    <w:rsid w:val="00F071B4"/>
    <w:rsid w:val="00F1479F"/>
    <w:rsid w:val="00F14ADD"/>
    <w:rsid w:val="00F14F0A"/>
    <w:rsid w:val="00F279C0"/>
    <w:rsid w:val="00F56042"/>
    <w:rsid w:val="00F7526A"/>
    <w:rsid w:val="00F802FE"/>
    <w:rsid w:val="00FB0575"/>
    <w:rsid w:val="00FC1722"/>
    <w:rsid w:val="00FE2457"/>
    <w:rsid w:val="00FF22DA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626B6-8708-465F-B294-0754AF19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89"/>
  </w:style>
  <w:style w:type="paragraph" w:styleId="Footer">
    <w:name w:val="footer"/>
    <w:basedOn w:val="Normal"/>
    <w:link w:val="FooterChar"/>
    <w:uiPriority w:val="99"/>
    <w:unhideWhenUsed/>
    <w:rsid w:val="00B6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89"/>
  </w:style>
  <w:style w:type="paragraph" w:styleId="BalloonText">
    <w:name w:val="Balloon Text"/>
    <w:basedOn w:val="Normal"/>
    <w:link w:val="BalloonTextChar"/>
    <w:uiPriority w:val="99"/>
    <w:semiHidden/>
    <w:unhideWhenUsed/>
    <w:rsid w:val="00D4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Doncea Bogdan Paul</dc:creator>
  <cp:lastModifiedBy>Constantin Cristescu</cp:lastModifiedBy>
  <cp:revision>27</cp:revision>
  <cp:lastPrinted>2018-01-17T11:17:00Z</cp:lastPrinted>
  <dcterms:created xsi:type="dcterms:W3CDTF">2017-12-04T06:23:00Z</dcterms:created>
  <dcterms:modified xsi:type="dcterms:W3CDTF">2018-02-19T16:00:00Z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461311ab-e82e-4503-99c2-6f4cfe782e0f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