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7C245" w14:textId="77777777" w:rsidR="002C5208" w:rsidRPr="00132CD8" w:rsidRDefault="002C5208" w:rsidP="002C5208">
      <w:pPr>
        <w:spacing w:before="0" w:after="0" w:line="240" w:lineRule="auto"/>
        <w:rPr>
          <w:rFonts w:eastAsia="MS Mincho"/>
          <w:b/>
          <w:lang w:val="fr-FR"/>
        </w:rPr>
      </w:pPr>
      <w:r w:rsidRPr="00132CD8">
        <w:rPr>
          <w:rFonts w:eastAsia="MS Mincho"/>
          <w:b/>
          <w:lang w:val="fr-FR"/>
        </w:rPr>
        <w:t xml:space="preserve">DIRECŢIA </w:t>
      </w:r>
      <w:r w:rsidRPr="00132CD8">
        <w:rPr>
          <w:rFonts w:eastAsia="MS Mincho"/>
          <w:b/>
        </w:rPr>
        <w:t xml:space="preserve">TRANSPORT </w:t>
      </w:r>
      <w:r w:rsidRPr="00132CD8">
        <w:rPr>
          <w:rFonts w:eastAsia="MS Mincho"/>
          <w:b/>
          <w:lang w:val="fr-FR"/>
        </w:rPr>
        <w:t>NAVAL</w:t>
      </w:r>
      <w:r w:rsidRPr="00132CD8">
        <w:rPr>
          <w:rFonts w:eastAsia="MS Mincho"/>
          <w:b/>
          <w:lang w:val="fr-FR"/>
        </w:rPr>
        <w:tab/>
      </w:r>
      <w:r w:rsidRPr="00132CD8">
        <w:rPr>
          <w:rFonts w:eastAsia="MS Mincho"/>
          <w:b/>
          <w:lang w:val="fr-FR"/>
        </w:rPr>
        <w:tab/>
      </w:r>
      <w:r w:rsidRPr="00132CD8">
        <w:rPr>
          <w:rFonts w:eastAsia="MS Mincho"/>
          <w:b/>
          <w:lang w:val="fr-FR"/>
        </w:rPr>
        <w:tab/>
      </w:r>
      <w:r w:rsidRPr="00132CD8">
        <w:rPr>
          <w:rFonts w:eastAsia="MS Mincho"/>
          <w:b/>
          <w:lang w:val="fr-FR"/>
        </w:rPr>
        <w:tab/>
        <w:t xml:space="preserve">       </w:t>
      </w:r>
    </w:p>
    <w:p w14:paraId="40F850A8" w14:textId="302A8923" w:rsidR="002C5208" w:rsidRDefault="002C5208" w:rsidP="002C5208">
      <w:pPr>
        <w:spacing w:before="0" w:after="0" w:line="240" w:lineRule="auto"/>
        <w:ind w:left="6480"/>
        <w:rPr>
          <w:b/>
        </w:rPr>
      </w:pPr>
      <w:r w:rsidRPr="00132CD8">
        <w:rPr>
          <w:b/>
        </w:rPr>
        <w:t>Nr.</w:t>
      </w:r>
      <w:r>
        <w:rPr>
          <w:b/>
        </w:rPr>
        <w:t xml:space="preserve"> 26952/1493</w:t>
      </w:r>
      <w:r w:rsidRPr="00132CD8">
        <w:rPr>
          <w:b/>
        </w:rPr>
        <w:t xml:space="preserve">                </w:t>
      </w:r>
      <w:r w:rsidRPr="00132CD8">
        <w:rPr>
          <w:b/>
        </w:rPr>
        <w:tab/>
        <w:t xml:space="preserve">                    </w:t>
      </w:r>
    </w:p>
    <w:p w14:paraId="113B03FE" w14:textId="3FD2F78E" w:rsidR="002C5208" w:rsidRPr="00132CD8" w:rsidRDefault="002C5208" w:rsidP="002C5208">
      <w:pPr>
        <w:spacing w:before="0" w:after="0" w:line="240" w:lineRule="auto"/>
        <w:ind w:left="5664"/>
        <w:rPr>
          <w:b/>
        </w:rPr>
      </w:pPr>
      <w:r>
        <w:rPr>
          <w:b/>
        </w:rPr>
        <w:t xml:space="preserve">            </w:t>
      </w:r>
      <w:r w:rsidRPr="00132CD8">
        <w:rPr>
          <w:b/>
        </w:rPr>
        <w:t>Data</w:t>
      </w:r>
      <w:r>
        <w:rPr>
          <w:b/>
        </w:rPr>
        <w:t>:23.08.2022</w:t>
      </w:r>
      <w:r w:rsidRPr="00132CD8">
        <w:rPr>
          <w:b/>
        </w:rPr>
        <w:t xml:space="preserve">          </w:t>
      </w:r>
    </w:p>
    <w:p w14:paraId="2014DB47" w14:textId="77777777" w:rsidR="002C5208" w:rsidRPr="00132CD8" w:rsidRDefault="002C5208" w:rsidP="002C5208">
      <w:pPr>
        <w:spacing w:before="0" w:after="0" w:line="240" w:lineRule="auto"/>
      </w:pPr>
    </w:p>
    <w:p w14:paraId="5B2CE884" w14:textId="77777777" w:rsidR="002C5208" w:rsidRPr="00132CD8" w:rsidRDefault="002C5208" w:rsidP="002C5208">
      <w:pPr>
        <w:spacing w:before="0" w:after="0" w:line="240" w:lineRule="auto"/>
      </w:pPr>
    </w:p>
    <w:p w14:paraId="64E0F2DB" w14:textId="77777777" w:rsidR="002C5208" w:rsidRPr="00132CD8" w:rsidRDefault="002C5208" w:rsidP="002C5208"/>
    <w:p w14:paraId="24D1B2C6" w14:textId="77777777" w:rsidR="002C5208" w:rsidRPr="002C5208" w:rsidRDefault="002C5208" w:rsidP="002C5208">
      <w:pPr>
        <w:pStyle w:val="Heading4"/>
        <w:jc w:val="center"/>
        <w:rPr>
          <w:rFonts w:ascii="Trebuchet MS" w:hAnsi="Trebuchet MS"/>
          <w:b/>
          <w:i w:val="0"/>
          <w:color w:val="000000" w:themeColor="text1"/>
        </w:rPr>
      </w:pPr>
      <w:r w:rsidRPr="002C5208">
        <w:rPr>
          <w:rFonts w:ascii="Trebuchet MS" w:hAnsi="Trebuchet MS"/>
          <w:b/>
          <w:i w:val="0"/>
          <w:color w:val="000000" w:themeColor="text1"/>
        </w:rPr>
        <w:t>REFERAT DE APROBARE</w:t>
      </w:r>
    </w:p>
    <w:p w14:paraId="42E9A614" w14:textId="77777777" w:rsidR="002C5208" w:rsidRPr="002C5208" w:rsidRDefault="002C5208" w:rsidP="002C5208">
      <w:pPr>
        <w:tabs>
          <w:tab w:val="left" w:pos="851"/>
        </w:tabs>
        <w:jc w:val="center"/>
        <w:rPr>
          <w:b/>
        </w:rPr>
      </w:pPr>
      <w:r w:rsidRPr="002C5208">
        <w:rPr>
          <w:b/>
        </w:rPr>
        <w:t xml:space="preserve">al Ordinului </w:t>
      </w:r>
      <w:bookmarkStart w:id="0" w:name="_Hlk107234872"/>
      <w:r w:rsidRPr="002C5208">
        <w:rPr>
          <w:b/>
        </w:rPr>
        <w:t>viceprim-ministrului</w:t>
      </w:r>
      <w:bookmarkEnd w:id="0"/>
      <w:r w:rsidRPr="002C5208">
        <w:rPr>
          <w:b/>
        </w:rPr>
        <w:t>, ministrului transporturilor și infrastructurii pentru publicarea acceptării amendamentelor la Convenția internațională privind standardele de pregătire a navigatorilor, brevetare/atestare și efectuare a serviciului de cart, adoptată la Londra la 7 iulie 1978 (STCW 1978), așa cum a fost amendată, adoptate de Organizația Maritimă Internațională prin Rezoluția MSC.486(103) a Comitetului de siguranță maritimă din 13 mai 2021</w:t>
      </w:r>
    </w:p>
    <w:p w14:paraId="6B71BBC0" w14:textId="77777777" w:rsidR="002C5208" w:rsidRPr="002C5208" w:rsidRDefault="002C5208" w:rsidP="002C5208">
      <w:pPr>
        <w:rPr>
          <w:rFonts w:eastAsia="SimSun"/>
          <w:lang w:eastAsia="zh-CN"/>
        </w:rPr>
      </w:pPr>
      <w:r w:rsidRPr="002C5208">
        <w:rPr>
          <w:b/>
          <w:bCs/>
        </w:rPr>
        <w:tab/>
      </w:r>
      <w:proofErr w:type="spellStart"/>
      <w:r w:rsidRPr="002C5208">
        <w:t>Organizaţia</w:t>
      </w:r>
      <w:proofErr w:type="spellEnd"/>
      <w:r w:rsidRPr="002C5208">
        <w:t xml:space="preserve"> Maritimă </w:t>
      </w:r>
      <w:proofErr w:type="spellStart"/>
      <w:r w:rsidRPr="002C5208">
        <w:t>Internaţională</w:t>
      </w:r>
      <w:proofErr w:type="spellEnd"/>
      <w:r w:rsidRPr="002C5208">
        <w:t xml:space="preserve"> (OMI), cu sediul la Londra, activează ca </w:t>
      </w:r>
      <w:proofErr w:type="spellStart"/>
      <w:r w:rsidRPr="002C5208">
        <w:t>agenţie</w:t>
      </w:r>
      <w:proofErr w:type="spellEnd"/>
      <w:r w:rsidRPr="002C5208">
        <w:t xml:space="preserve"> specializată a </w:t>
      </w:r>
      <w:proofErr w:type="spellStart"/>
      <w:r w:rsidRPr="002C5208">
        <w:t>Organizaţiei</w:t>
      </w:r>
      <w:proofErr w:type="spellEnd"/>
      <w:r w:rsidRPr="002C5208">
        <w:t xml:space="preserve"> </w:t>
      </w:r>
      <w:proofErr w:type="spellStart"/>
      <w:r w:rsidRPr="002C5208">
        <w:t>Naţiunilor</w:t>
      </w:r>
      <w:proofErr w:type="spellEnd"/>
      <w:r w:rsidRPr="002C5208">
        <w:t xml:space="preserve"> Unite </w:t>
      </w:r>
      <w:proofErr w:type="spellStart"/>
      <w:r w:rsidRPr="002C5208">
        <w:t>şi</w:t>
      </w:r>
      <w:proofErr w:type="spellEnd"/>
      <w:r w:rsidRPr="002C5208">
        <w:t xml:space="preserve"> se ocupă cu elaborarea cadrului juridic, tehnic </w:t>
      </w:r>
      <w:proofErr w:type="spellStart"/>
      <w:r w:rsidRPr="002C5208">
        <w:t>şi</w:t>
      </w:r>
      <w:proofErr w:type="spellEnd"/>
      <w:r w:rsidRPr="002C5208">
        <w:t xml:space="preserve"> organizatoric privind </w:t>
      </w:r>
      <w:proofErr w:type="spellStart"/>
      <w:r w:rsidRPr="002C5208">
        <w:t>navigaţia</w:t>
      </w:r>
      <w:proofErr w:type="spellEnd"/>
      <w:r w:rsidRPr="002C5208">
        <w:t xml:space="preserve"> maritimă în apele </w:t>
      </w:r>
      <w:proofErr w:type="spellStart"/>
      <w:r w:rsidRPr="002C5208">
        <w:t>internaţionale</w:t>
      </w:r>
      <w:proofErr w:type="spellEnd"/>
      <w:r w:rsidRPr="002C5208">
        <w:t xml:space="preserve">. Prin reglementările adoptate, OMI </w:t>
      </w:r>
      <w:proofErr w:type="spellStart"/>
      <w:r w:rsidRPr="002C5208">
        <w:t>stabileşte</w:t>
      </w:r>
      <w:proofErr w:type="spellEnd"/>
      <w:r w:rsidRPr="002C5208">
        <w:t xml:space="preserve"> </w:t>
      </w:r>
      <w:proofErr w:type="spellStart"/>
      <w:r w:rsidRPr="002C5208">
        <w:t>cerinţele</w:t>
      </w:r>
      <w:proofErr w:type="spellEnd"/>
      <w:r w:rsidRPr="002C5208">
        <w:t xml:space="preserve"> minime care se impun navelor comerciale care efectuează voiaje </w:t>
      </w:r>
      <w:proofErr w:type="spellStart"/>
      <w:r w:rsidRPr="002C5208">
        <w:t>internaţionale</w:t>
      </w:r>
      <w:proofErr w:type="spellEnd"/>
      <w:r w:rsidRPr="002C5208">
        <w:t xml:space="preserve">, privind </w:t>
      </w:r>
      <w:proofErr w:type="spellStart"/>
      <w:r w:rsidRPr="002C5208">
        <w:t>siguranţa</w:t>
      </w:r>
      <w:proofErr w:type="spellEnd"/>
      <w:r w:rsidRPr="002C5208">
        <w:t xml:space="preserve"> </w:t>
      </w:r>
      <w:proofErr w:type="spellStart"/>
      <w:r w:rsidRPr="002C5208">
        <w:t>navigaţiei</w:t>
      </w:r>
      <w:proofErr w:type="spellEnd"/>
      <w:r w:rsidRPr="002C5208">
        <w:t xml:space="preserve">, securitatea navelor </w:t>
      </w:r>
      <w:proofErr w:type="spellStart"/>
      <w:r w:rsidRPr="002C5208">
        <w:t>şi</w:t>
      </w:r>
      <w:proofErr w:type="spellEnd"/>
      <w:r w:rsidRPr="002C5208">
        <w:t xml:space="preserve"> a porturilor </w:t>
      </w:r>
      <w:proofErr w:type="spellStart"/>
      <w:r w:rsidRPr="002C5208">
        <w:t>şi</w:t>
      </w:r>
      <w:proofErr w:type="spellEnd"/>
      <w:r w:rsidRPr="002C5208">
        <w:t xml:space="preserve"> </w:t>
      </w:r>
      <w:proofErr w:type="spellStart"/>
      <w:r w:rsidRPr="002C5208">
        <w:t>protecţia</w:t>
      </w:r>
      <w:proofErr w:type="spellEnd"/>
      <w:r w:rsidRPr="002C5208">
        <w:t xml:space="preserve"> mediului, precum </w:t>
      </w:r>
      <w:proofErr w:type="spellStart"/>
      <w:r w:rsidRPr="002C5208">
        <w:t>şi</w:t>
      </w:r>
      <w:proofErr w:type="spellEnd"/>
      <w:r w:rsidRPr="002C5208">
        <w:t xml:space="preserve"> </w:t>
      </w:r>
      <w:proofErr w:type="spellStart"/>
      <w:r w:rsidRPr="002C5208">
        <w:t>cerinţele</w:t>
      </w:r>
      <w:proofErr w:type="spellEnd"/>
      <w:r w:rsidRPr="002C5208">
        <w:t xml:space="preserve"> privind modul de certificare </w:t>
      </w:r>
      <w:proofErr w:type="spellStart"/>
      <w:r w:rsidRPr="002C5208">
        <w:t>şi</w:t>
      </w:r>
      <w:proofErr w:type="spellEnd"/>
      <w:r w:rsidRPr="002C5208">
        <w:t xml:space="preserve"> pregătire a echipajelor ce </w:t>
      </w:r>
      <w:proofErr w:type="spellStart"/>
      <w:r w:rsidRPr="002C5208">
        <w:t>îşi</w:t>
      </w:r>
      <w:proofErr w:type="spellEnd"/>
      <w:r w:rsidRPr="002C5208">
        <w:t xml:space="preserve"> </w:t>
      </w:r>
      <w:proofErr w:type="spellStart"/>
      <w:r w:rsidRPr="002C5208">
        <w:t>desfăşoară</w:t>
      </w:r>
      <w:proofErr w:type="spellEnd"/>
      <w:r w:rsidRPr="002C5208">
        <w:t xml:space="preserve"> activitatea la bordul acestora. </w:t>
      </w:r>
      <w:r w:rsidRPr="002C5208">
        <w:rPr>
          <w:rFonts w:eastAsia="SimSun"/>
          <w:lang w:eastAsia="zh-CN"/>
        </w:rPr>
        <w:t xml:space="preserve">România a devenit membră a acestei </w:t>
      </w:r>
      <w:proofErr w:type="spellStart"/>
      <w:r w:rsidRPr="002C5208">
        <w:rPr>
          <w:rFonts w:eastAsia="SimSun"/>
          <w:lang w:eastAsia="zh-CN"/>
        </w:rPr>
        <w:t>organizaţii</w:t>
      </w:r>
      <w:proofErr w:type="spellEnd"/>
      <w:r w:rsidRPr="002C5208">
        <w:rPr>
          <w:rFonts w:eastAsia="SimSun"/>
          <w:lang w:eastAsia="zh-CN"/>
        </w:rPr>
        <w:t xml:space="preserve"> prin Decretul nr. 114/1965 </w:t>
      </w:r>
      <w:proofErr w:type="spellStart"/>
      <w:r w:rsidRPr="002C5208">
        <w:rPr>
          <w:rFonts w:eastAsia="SimSun"/>
          <w:lang w:eastAsia="zh-CN"/>
        </w:rPr>
        <w:t>şi</w:t>
      </w:r>
      <w:proofErr w:type="spellEnd"/>
      <w:r w:rsidRPr="002C5208">
        <w:rPr>
          <w:rFonts w:eastAsia="SimSun"/>
          <w:lang w:eastAsia="zh-CN"/>
        </w:rPr>
        <w:t xml:space="preserve"> în această calitate este parte la toate </w:t>
      </w:r>
      <w:proofErr w:type="spellStart"/>
      <w:r w:rsidRPr="002C5208">
        <w:rPr>
          <w:rFonts w:eastAsia="SimSun"/>
          <w:lang w:eastAsia="zh-CN"/>
        </w:rPr>
        <w:t>convenţiile</w:t>
      </w:r>
      <w:proofErr w:type="spellEnd"/>
      <w:r w:rsidRPr="002C5208">
        <w:rPr>
          <w:rFonts w:eastAsia="SimSun"/>
          <w:lang w:eastAsia="zh-CN"/>
        </w:rPr>
        <w:t xml:space="preserve"> </w:t>
      </w:r>
      <w:proofErr w:type="spellStart"/>
      <w:r w:rsidRPr="002C5208">
        <w:rPr>
          <w:rFonts w:eastAsia="SimSun"/>
          <w:lang w:eastAsia="zh-CN"/>
        </w:rPr>
        <w:t>internaţionale</w:t>
      </w:r>
      <w:proofErr w:type="spellEnd"/>
      <w:r w:rsidRPr="002C5208">
        <w:rPr>
          <w:rFonts w:eastAsia="SimSun"/>
          <w:lang w:eastAsia="zh-CN"/>
        </w:rPr>
        <w:t xml:space="preserve"> majore privind </w:t>
      </w:r>
      <w:proofErr w:type="spellStart"/>
      <w:r w:rsidRPr="002C5208">
        <w:rPr>
          <w:rFonts w:eastAsia="SimSun"/>
          <w:lang w:eastAsia="zh-CN"/>
        </w:rPr>
        <w:t>siguranţa</w:t>
      </w:r>
      <w:proofErr w:type="spellEnd"/>
      <w:r w:rsidRPr="002C5208">
        <w:rPr>
          <w:rFonts w:eastAsia="SimSun"/>
          <w:lang w:eastAsia="zh-CN"/>
        </w:rPr>
        <w:t xml:space="preserve"> </w:t>
      </w:r>
      <w:proofErr w:type="spellStart"/>
      <w:r w:rsidRPr="002C5208">
        <w:rPr>
          <w:rFonts w:eastAsia="SimSun"/>
          <w:lang w:eastAsia="zh-CN"/>
        </w:rPr>
        <w:t>navigaţiei</w:t>
      </w:r>
      <w:proofErr w:type="spellEnd"/>
      <w:r w:rsidRPr="002C5208">
        <w:rPr>
          <w:rFonts w:eastAsia="SimSun"/>
          <w:lang w:eastAsia="zh-CN"/>
        </w:rPr>
        <w:t xml:space="preserve"> </w:t>
      </w:r>
      <w:proofErr w:type="spellStart"/>
      <w:r w:rsidRPr="002C5208">
        <w:rPr>
          <w:rFonts w:eastAsia="SimSun"/>
          <w:lang w:eastAsia="zh-CN"/>
        </w:rPr>
        <w:t>şi</w:t>
      </w:r>
      <w:proofErr w:type="spellEnd"/>
      <w:r w:rsidRPr="002C5208">
        <w:rPr>
          <w:rFonts w:eastAsia="SimSun"/>
          <w:lang w:eastAsia="zh-CN"/>
        </w:rPr>
        <w:t xml:space="preserve"> prevenirea poluării de către navele maritime. </w:t>
      </w:r>
    </w:p>
    <w:p w14:paraId="053CB2A2" w14:textId="77777777" w:rsidR="002C5208" w:rsidRPr="002C5208" w:rsidRDefault="002C5208" w:rsidP="002C5208">
      <w:pPr>
        <w:ind w:firstLine="720"/>
      </w:pPr>
      <w:r w:rsidRPr="002C5208">
        <w:t>În vederea realizării scopurilor sale, OMI organizează conferințe internaționale și sesiuni ale Adunării statelor membre și ale comitetelor sale, pentru adoptarea convențiilor maritime, codurilor și rezoluțiilor în materie.</w:t>
      </w:r>
    </w:p>
    <w:p w14:paraId="049DAA53" w14:textId="77777777" w:rsidR="002C5208" w:rsidRPr="002C5208" w:rsidRDefault="002C5208" w:rsidP="002C5208">
      <w:pPr>
        <w:ind w:firstLine="708"/>
      </w:pPr>
      <w:r w:rsidRPr="002C5208">
        <w:t xml:space="preserve">Una dintre cele mai importante </w:t>
      </w:r>
      <w:proofErr w:type="spellStart"/>
      <w:r w:rsidRPr="002C5208">
        <w:t>convenţii</w:t>
      </w:r>
      <w:proofErr w:type="spellEnd"/>
      <w:r w:rsidRPr="002C5208">
        <w:t xml:space="preserve"> privind </w:t>
      </w:r>
      <w:proofErr w:type="spellStart"/>
      <w:r w:rsidRPr="002C5208">
        <w:t>siguranţa</w:t>
      </w:r>
      <w:proofErr w:type="spellEnd"/>
      <w:r w:rsidRPr="002C5208">
        <w:t xml:space="preserve"> navei </w:t>
      </w:r>
      <w:proofErr w:type="spellStart"/>
      <w:r w:rsidRPr="002C5208">
        <w:t>şi</w:t>
      </w:r>
      <w:proofErr w:type="spellEnd"/>
      <w:r w:rsidRPr="002C5208">
        <w:t xml:space="preserve"> a echipajului este</w:t>
      </w:r>
      <w:r w:rsidRPr="002C5208">
        <w:rPr>
          <w:bCs/>
        </w:rPr>
        <w:t xml:space="preserve"> </w:t>
      </w:r>
      <w:proofErr w:type="spellStart"/>
      <w:r w:rsidRPr="002C5208">
        <w:rPr>
          <w:i/>
          <w:iCs/>
        </w:rPr>
        <w:t>Convenţia</w:t>
      </w:r>
      <w:proofErr w:type="spellEnd"/>
      <w:r w:rsidRPr="002C5208">
        <w:rPr>
          <w:i/>
          <w:iCs/>
        </w:rPr>
        <w:t xml:space="preserve"> </w:t>
      </w:r>
      <w:proofErr w:type="spellStart"/>
      <w:r w:rsidRPr="002C5208">
        <w:rPr>
          <w:i/>
          <w:iCs/>
        </w:rPr>
        <w:t>internaţională</w:t>
      </w:r>
      <w:proofErr w:type="spellEnd"/>
      <w:r w:rsidRPr="002C5208">
        <w:rPr>
          <w:i/>
          <w:iCs/>
        </w:rPr>
        <w:t xml:space="preserve"> privind standardele de pregătire a navigatorilor, brevetare/atestare </w:t>
      </w:r>
      <w:proofErr w:type="spellStart"/>
      <w:r w:rsidRPr="002C5208">
        <w:rPr>
          <w:i/>
          <w:iCs/>
        </w:rPr>
        <w:t>şi</w:t>
      </w:r>
      <w:proofErr w:type="spellEnd"/>
      <w:r w:rsidRPr="002C5208">
        <w:rPr>
          <w:i/>
          <w:iCs/>
        </w:rPr>
        <w:t xml:space="preserve"> efectuare a serviciului de cart</w:t>
      </w:r>
      <w:r w:rsidRPr="002C5208">
        <w:t>, adoptată la Londra la 7 iulie 1978 (STCW 1978), la care România a aderat prin Legea nr.107/1992. Prevederile acestei Convenții sunt perfecționate continuu prin rezoluții de amendare, adoptate în cadrul sesiunilor Comitetului de siguranță maritimă (MSC) ale OMI</w:t>
      </w:r>
      <w:r w:rsidRPr="002C5208">
        <w:rPr>
          <w:bCs/>
        </w:rPr>
        <w:t>; menționăm că toate amendamentele adoptate până în prezent au fost implementate în legislația națională prin acte normative specifice.</w:t>
      </w:r>
    </w:p>
    <w:p w14:paraId="2F9BF1D8" w14:textId="77777777" w:rsidR="002C5208" w:rsidRPr="002C5208" w:rsidRDefault="002C5208" w:rsidP="002C5208">
      <w:pPr>
        <w:pStyle w:val="ListParagraph"/>
        <w:ind w:left="0" w:firstLine="705"/>
        <w:jc w:val="both"/>
        <w:rPr>
          <w:rFonts w:ascii="Trebuchet MS" w:hAnsi="Trebuchet MS"/>
          <w:sz w:val="22"/>
          <w:szCs w:val="22"/>
        </w:rPr>
      </w:pPr>
      <w:r w:rsidRPr="002C5208">
        <w:rPr>
          <w:rFonts w:ascii="Trebuchet MS" w:hAnsi="Trebuchet MS"/>
          <w:bCs/>
          <w:sz w:val="22"/>
          <w:szCs w:val="22"/>
        </w:rPr>
        <w:t xml:space="preserve">În data de 13 mai 2021, prin Rezoluția MSC.486(103) a Comitetului de siguranță maritimă au fost adoptate noi amendamente la Convenția </w:t>
      </w:r>
      <w:r w:rsidRPr="002C5208">
        <w:rPr>
          <w:rFonts w:ascii="Trebuchet MS" w:hAnsi="Trebuchet MS"/>
          <w:sz w:val="22"/>
          <w:szCs w:val="22"/>
        </w:rPr>
        <w:t>STCW 1978.</w:t>
      </w:r>
    </w:p>
    <w:p w14:paraId="0C99AE15" w14:textId="77777777" w:rsidR="002C5208" w:rsidRPr="002C5208" w:rsidRDefault="002C5208" w:rsidP="002C5208">
      <w:pPr>
        <w:pStyle w:val="ListParagraph"/>
        <w:ind w:left="0" w:firstLine="567"/>
        <w:jc w:val="both"/>
        <w:rPr>
          <w:rFonts w:ascii="Trebuchet MS" w:hAnsi="Trebuchet MS"/>
          <w:bCs/>
          <w:sz w:val="22"/>
          <w:szCs w:val="22"/>
        </w:rPr>
      </w:pPr>
      <w:r w:rsidRPr="002C5208">
        <w:rPr>
          <w:rFonts w:ascii="Trebuchet MS" w:hAnsi="Trebuchet MS"/>
          <w:bCs/>
          <w:sz w:val="22"/>
          <w:szCs w:val="22"/>
        </w:rPr>
        <w:t xml:space="preserve">Aceste amendamente constau în introducerea în Capitolul I - </w:t>
      </w:r>
      <w:r w:rsidRPr="002C5208">
        <w:rPr>
          <w:rFonts w:ascii="Trebuchet MS" w:hAnsi="Trebuchet MS"/>
          <w:bCs/>
          <w:i/>
          <w:sz w:val="22"/>
          <w:szCs w:val="22"/>
        </w:rPr>
        <w:t>Prevederi generale</w:t>
      </w:r>
      <w:r w:rsidRPr="002C5208">
        <w:rPr>
          <w:rFonts w:ascii="Trebuchet MS" w:hAnsi="Trebuchet MS"/>
          <w:bCs/>
          <w:sz w:val="22"/>
          <w:szCs w:val="22"/>
        </w:rPr>
        <w:t>, respectiv regula I/1.1 a unei noi definiții și anume a termenului „</w:t>
      </w:r>
      <w:r w:rsidRPr="002C5208">
        <w:rPr>
          <w:rFonts w:ascii="Trebuchet MS" w:hAnsi="Trebuchet MS"/>
          <w:bCs/>
          <w:i/>
          <w:sz w:val="22"/>
          <w:szCs w:val="22"/>
        </w:rPr>
        <w:t>înaltă tensiune</w:t>
      </w:r>
      <w:r w:rsidRPr="002C5208">
        <w:rPr>
          <w:rFonts w:ascii="Trebuchet MS" w:hAnsi="Trebuchet MS"/>
          <w:bCs/>
          <w:sz w:val="22"/>
          <w:szCs w:val="22"/>
        </w:rPr>
        <w:t>”.</w:t>
      </w:r>
    </w:p>
    <w:p w14:paraId="7EB82175" w14:textId="77777777" w:rsidR="002C5208" w:rsidRPr="002C5208" w:rsidRDefault="002C5208" w:rsidP="002C5208">
      <w:pPr>
        <w:pStyle w:val="ListParagraph"/>
        <w:ind w:left="0" w:firstLine="567"/>
        <w:jc w:val="both"/>
        <w:rPr>
          <w:rFonts w:ascii="Trebuchet MS" w:hAnsi="Trebuchet MS"/>
          <w:bCs/>
          <w:sz w:val="22"/>
          <w:szCs w:val="22"/>
        </w:rPr>
      </w:pPr>
      <w:r w:rsidRPr="002C5208">
        <w:rPr>
          <w:rFonts w:ascii="Trebuchet MS" w:hAnsi="Trebuchet MS"/>
          <w:bCs/>
          <w:sz w:val="22"/>
          <w:szCs w:val="22"/>
        </w:rPr>
        <w:t xml:space="preserve">Acest termen apare de mai multe ori în </w:t>
      </w:r>
      <w:r w:rsidRPr="002C5208">
        <w:rPr>
          <w:rFonts w:ascii="Trebuchet MS" w:hAnsi="Trebuchet MS"/>
          <w:bCs/>
          <w:i/>
          <w:iCs/>
          <w:sz w:val="22"/>
          <w:szCs w:val="22"/>
        </w:rPr>
        <w:t>Codul privind pregătirea, brevetarea/atestarea și efectuarea serviciului de cart</w:t>
      </w:r>
      <w:r w:rsidRPr="002C5208">
        <w:rPr>
          <w:rFonts w:ascii="Trebuchet MS" w:hAnsi="Trebuchet MS"/>
          <w:bCs/>
          <w:sz w:val="22"/>
          <w:szCs w:val="22"/>
        </w:rPr>
        <w:t xml:space="preserve"> (Codul STCW), fără a avea o definiție specifică.</w:t>
      </w:r>
    </w:p>
    <w:p w14:paraId="78E890CB" w14:textId="77777777" w:rsidR="002C5208" w:rsidRPr="002C5208" w:rsidRDefault="002C5208" w:rsidP="002C5208">
      <w:pPr>
        <w:autoSpaceDE w:val="0"/>
        <w:autoSpaceDN w:val="0"/>
        <w:adjustRightInd w:val="0"/>
      </w:pPr>
      <w:r w:rsidRPr="002C5208">
        <w:tab/>
      </w:r>
      <w:r w:rsidRPr="002C5208">
        <w:rPr>
          <w:bCs/>
        </w:rPr>
        <w:t xml:space="preserve">Întrucât la </w:t>
      </w:r>
      <w:r w:rsidRPr="002C5208">
        <w:t xml:space="preserve">1 iulie 2022 </w:t>
      </w:r>
      <w:r w:rsidRPr="002C5208">
        <w:rPr>
          <w:bCs/>
        </w:rPr>
        <w:t xml:space="preserve">au fost îndeplinite condițiile de acceptare a </w:t>
      </w:r>
      <w:r w:rsidRPr="002C5208">
        <w:t>amendamentelor adoptate prin Rezoluția MSC.</w:t>
      </w:r>
      <w:r w:rsidRPr="002C5208">
        <w:rPr>
          <w:bCs/>
        </w:rPr>
        <w:t xml:space="preserve">486(103) </w:t>
      </w:r>
      <w:r w:rsidRPr="002C5208">
        <w:t xml:space="preserve">(prin așa numita procedură de </w:t>
      </w:r>
      <w:r w:rsidRPr="002C5208">
        <w:rPr>
          <w:i/>
        </w:rPr>
        <w:t>acceptare tacită</w:t>
      </w:r>
      <w:r w:rsidRPr="002C5208">
        <w:t>),</w:t>
      </w:r>
      <w:r w:rsidRPr="002C5208">
        <w:rPr>
          <w:bCs/>
        </w:rPr>
        <w:t xml:space="preserve"> </w:t>
      </w:r>
      <w:r w:rsidRPr="002C5208">
        <w:t xml:space="preserve">în </w:t>
      </w:r>
      <w:r w:rsidRPr="002C5208">
        <w:lastRenderedPageBreak/>
        <w:t xml:space="preserve">conformitate cu prevederile specifice ale </w:t>
      </w:r>
      <w:r w:rsidRPr="002C5208">
        <w:rPr>
          <w:i/>
          <w:iCs/>
        </w:rPr>
        <w:t>Convenției STCW 1978</w:t>
      </w:r>
      <w:r w:rsidRPr="002C5208">
        <w:rPr>
          <w:b/>
          <w:i/>
        </w:rPr>
        <w:t xml:space="preserve"> </w:t>
      </w:r>
      <w:r w:rsidRPr="002C5208">
        <w:t>precizate în rezoluție,</w:t>
      </w:r>
      <w:r w:rsidRPr="002C5208">
        <w:rPr>
          <w:i/>
        </w:rPr>
        <w:t xml:space="preserve"> </w:t>
      </w:r>
      <w:r w:rsidRPr="002C5208">
        <w:rPr>
          <w:bCs/>
        </w:rPr>
        <w:t>respectivele amendamente</w:t>
      </w:r>
      <w:r w:rsidRPr="002C5208">
        <w:t xml:space="preserve"> vor intra în vigoare pe plan internațional la 1 ianuarie 2023.</w:t>
      </w:r>
    </w:p>
    <w:p w14:paraId="0D07AF5D" w14:textId="77777777" w:rsidR="002C5208" w:rsidRPr="002C5208" w:rsidRDefault="002C5208" w:rsidP="002C5208">
      <w:pPr>
        <w:ind w:firstLine="708"/>
        <w:rPr>
          <w:bCs/>
        </w:rPr>
      </w:pPr>
      <w:r w:rsidRPr="002C5208">
        <w:rPr>
          <w:iCs/>
        </w:rPr>
        <w:t xml:space="preserve">În temeiul prevederilor art. 4 alin. </w:t>
      </w:r>
      <w:bookmarkStart w:id="1" w:name="_Hlk69283842"/>
      <w:r w:rsidRPr="002C5208">
        <w:rPr>
          <w:iCs/>
        </w:rPr>
        <w:t xml:space="preserve">(1) </w:t>
      </w:r>
      <w:bookmarkEnd w:id="1"/>
      <w:r w:rsidRPr="002C5208">
        <w:rPr>
          <w:iCs/>
        </w:rPr>
        <w:t xml:space="preserve">din Ordonanța Guvernului nr. 42/1997 privind transportul maritim și pe căile navigabile interioare, republicată, cu modificările și completările ulterioare, precum și ale </w:t>
      </w:r>
      <w:r w:rsidRPr="002C5208">
        <w:t>art. 9 alin. (4) din Hotărârea Guvernului nr. 370/2021, Ministerului Transporturilor și Infrastructurii, în calitatea sa de</w:t>
      </w:r>
      <w:r w:rsidRPr="002C5208">
        <w:rPr>
          <w:rStyle w:val="l5def3"/>
          <w:rFonts w:ascii="Trebuchet MS" w:hAnsi="Trebuchet MS" w:cs="Times New Roman"/>
          <w:color w:val="auto"/>
          <w:sz w:val="22"/>
          <w:szCs w:val="22"/>
        </w:rPr>
        <w:t xml:space="preserve"> autoritate de stat în domeniul transportului maritim</w:t>
      </w:r>
      <w:r w:rsidRPr="002C5208">
        <w:t xml:space="preserve">, </w:t>
      </w:r>
      <w:r w:rsidRPr="002C5208">
        <w:rPr>
          <w:rStyle w:val="l5def3"/>
          <w:rFonts w:ascii="Trebuchet MS" w:hAnsi="Trebuchet MS" w:cs="Times New Roman"/>
          <w:color w:val="auto"/>
          <w:sz w:val="22"/>
          <w:szCs w:val="22"/>
        </w:rPr>
        <w:t>elaborează și promovează acte normative și norme specifice aplicabile transportului maritim, urmărește aplicarea acestora și asigură ducerea la îndeplinire a obligațiilor ce revin statului din acordurile și convențiile internaționale la care România este parte</w:t>
      </w:r>
      <w:r w:rsidRPr="002C5208">
        <w:rPr>
          <w:bCs/>
        </w:rPr>
        <w:t>.</w:t>
      </w:r>
    </w:p>
    <w:p w14:paraId="61C3E7E8" w14:textId="77777777" w:rsidR="002C5208" w:rsidRPr="002C5208" w:rsidRDefault="002C5208" w:rsidP="002C5208">
      <w:pPr>
        <w:tabs>
          <w:tab w:val="left" w:pos="851"/>
        </w:tabs>
        <w:rPr>
          <w:bCs/>
        </w:rPr>
      </w:pPr>
      <w:r w:rsidRPr="002C5208">
        <w:rPr>
          <w:bCs/>
        </w:rPr>
        <w:tab/>
        <w:t xml:space="preserve">Având în vedere cele de mai sus, am elaborat alăturatul proiect de </w:t>
      </w:r>
      <w:r w:rsidRPr="002C5208">
        <w:rPr>
          <w:b/>
          <w:iCs/>
        </w:rPr>
        <w:t>Ordin al viceprim-ministrului, ministrului transporturilor pentru publicarea acceptării amendamentelor la Convenția internațională privind standardele de pregătire a navigatorilor, brevetare/atestare și efectuare a serviciului de cart, adoptată la Londra la 7 iulie 1978 (STCW 1978), așa cum a fost amendată, adoptate de Organizația Maritimă Internațională prin Rezoluția MSC.486(103) a Comitetului de siguranță maritimă din 13 mai 2021</w:t>
      </w:r>
      <w:r w:rsidRPr="002C5208">
        <w:rPr>
          <w:bCs/>
          <w:i/>
        </w:rPr>
        <w:t>,</w:t>
      </w:r>
      <w:r w:rsidRPr="002C5208">
        <w:rPr>
          <w:bCs/>
        </w:rPr>
        <w:t xml:space="preserve"> pe care, dacă sunteți de acord, vă rugăm să îl aprobați.</w:t>
      </w:r>
    </w:p>
    <w:p w14:paraId="33A48753" w14:textId="77777777" w:rsidR="002C5208" w:rsidRPr="002C5208" w:rsidRDefault="002C5208" w:rsidP="002C5208">
      <w:pPr>
        <w:autoSpaceDE w:val="0"/>
        <w:autoSpaceDN w:val="0"/>
        <w:adjustRightInd w:val="0"/>
      </w:pPr>
    </w:p>
    <w:p w14:paraId="49E83F09" w14:textId="77777777" w:rsidR="002C5208" w:rsidRPr="002C5208" w:rsidRDefault="002C5208" w:rsidP="002C5208">
      <w:pPr>
        <w:autoSpaceDE w:val="0"/>
        <w:autoSpaceDN w:val="0"/>
        <w:adjustRightInd w:val="0"/>
      </w:pPr>
    </w:p>
    <w:p w14:paraId="6DC72BD6" w14:textId="77777777" w:rsidR="002C5208" w:rsidRPr="002C5208" w:rsidRDefault="002C5208" w:rsidP="002C5208">
      <w:pPr>
        <w:pStyle w:val="Heading2"/>
        <w:rPr>
          <w:rFonts w:ascii="Trebuchet MS" w:hAnsi="Trebuchet MS"/>
          <w:b/>
          <w:color w:val="000000" w:themeColor="text1"/>
          <w:sz w:val="22"/>
          <w:szCs w:val="22"/>
        </w:rPr>
      </w:pPr>
      <w:r w:rsidRPr="002C5208">
        <w:rPr>
          <w:rFonts w:ascii="Trebuchet MS" w:hAnsi="Trebuchet MS"/>
          <w:b/>
          <w:color w:val="000000" w:themeColor="text1"/>
          <w:sz w:val="22"/>
          <w:szCs w:val="22"/>
        </w:rPr>
        <w:t xml:space="preserve">DIRECTOR </w:t>
      </w:r>
    </w:p>
    <w:p w14:paraId="791F8926" w14:textId="77777777" w:rsidR="002C5208" w:rsidRDefault="002C5208" w:rsidP="002C5208">
      <w:pPr>
        <w:rPr>
          <w:b/>
          <w:bCs/>
        </w:rPr>
      </w:pPr>
      <w:r w:rsidRPr="002C5208">
        <w:rPr>
          <w:b/>
          <w:bCs/>
        </w:rPr>
        <w:t>Doina Teodora COJOCARU</w:t>
      </w:r>
    </w:p>
    <w:p w14:paraId="56AECBD9" w14:textId="1A421505" w:rsidR="002C5208" w:rsidRPr="000918C9" w:rsidRDefault="002C5208" w:rsidP="002C5208">
      <w:pPr>
        <w:rPr>
          <w:b/>
          <w:bCs/>
          <w:color w:val="000000" w:themeColor="text1"/>
        </w:rPr>
      </w:pPr>
      <w:r w:rsidRPr="006B643D">
        <w:rPr>
          <w:b/>
          <w:bCs/>
          <w:color w:val="000000" w:themeColor="text1"/>
        </w:rPr>
        <w:t xml:space="preserve">                                                                                                </w:t>
      </w:r>
      <w:bookmarkStart w:id="2" w:name="_GoBack"/>
      <w:r w:rsidRPr="000918C9">
        <w:rPr>
          <w:b/>
          <w:bCs/>
          <w:color w:val="000000" w:themeColor="text1"/>
        </w:rPr>
        <w:t>Șef Serviciu</w:t>
      </w:r>
    </w:p>
    <w:p w14:paraId="0ACF211F" w14:textId="742D2CDE" w:rsidR="002C5208" w:rsidRPr="000918C9" w:rsidRDefault="002C5208" w:rsidP="002C5208">
      <w:pPr>
        <w:rPr>
          <w:b/>
          <w:bCs/>
          <w:color w:val="000000" w:themeColor="text1"/>
        </w:rPr>
      </w:pPr>
      <w:r w:rsidRPr="000918C9">
        <w:rPr>
          <w:b/>
          <w:bCs/>
          <w:color w:val="000000" w:themeColor="text1"/>
        </w:rPr>
        <w:t xml:space="preserve">                                                                                         Gabriela MURGEANU</w:t>
      </w:r>
    </w:p>
    <w:p w14:paraId="43C37BBB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3D6E8389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53B8E700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7782C8BB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6F5BB70D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2C8A5726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523E1629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32E4F611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14C0B57B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3FFEF837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77526F9E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3090FDD4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45668A8D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09DE2994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2AEDCAE3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7F8D422C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69309EC6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0947F776" w14:textId="77777777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</w:p>
    <w:p w14:paraId="041F2881" w14:textId="4A86BB50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  <w:r w:rsidRPr="000918C9">
        <w:rPr>
          <w:b/>
          <w:bCs/>
          <w:color w:val="000000" w:themeColor="text1"/>
          <w:sz w:val="16"/>
          <w:szCs w:val="16"/>
        </w:rPr>
        <w:t>Întocmit</w:t>
      </w:r>
    </w:p>
    <w:p w14:paraId="3A61870C" w14:textId="25972C29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  <w:r w:rsidRPr="000918C9">
        <w:rPr>
          <w:b/>
          <w:bCs/>
          <w:color w:val="000000" w:themeColor="text1"/>
          <w:sz w:val="16"/>
          <w:szCs w:val="16"/>
        </w:rPr>
        <w:t>Laurențiu RĂDULESCU</w:t>
      </w:r>
    </w:p>
    <w:p w14:paraId="2DCCD1BE" w14:textId="30481126" w:rsidR="002C5208" w:rsidRPr="000918C9" w:rsidRDefault="002C5208" w:rsidP="002C5208">
      <w:pPr>
        <w:spacing w:before="0" w:after="0" w:line="240" w:lineRule="auto"/>
        <w:rPr>
          <w:b/>
          <w:bCs/>
          <w:color w:val="000000" w:themeColor="text1"/>
          <w:sz w:val="16"/>
          <w:szCs w:val="16"/>
        </w:rPr>
      </w:pPr>
      <w:r w:rsidRPr="000918C9">
        <w:rPr>
          <w:b/>
          <w:bCs/>
          <w:color w:val="000000" w:themeColor="text1"/>
          <w:sz w:val="16"/>
          <w:szCs w:val="16"/>
        </w:rPr>
        <w:t>Cristian DOBRIȚOIU</w:t>
      </w:r>
    </w:p>
    <w:p w14:paraId="77EEA89B" w14:textId="1B6FCAF8" w:rsidR="002328DD" w:rsidRPr="000918C9" w:rsidRDefault="002C5208" w:rsidP="000918C9">
      <w:pPr>
        <w:spacing w:before="0" w:after="0" w:line="240" w:lineRule="auto"/>
        <w:rPr>
          <w:color w:val="000000" w:themeColor="text1"/>
        </w:rPr>
      </w:pPr>
      <w:r w:rsidRPr="000918C9">
        <w:rPr>
          <w:b/>
          <w:bCs/>
          <w:color w:val="000000" w:themeColor="text1"/>
          <w:sz w:val="16"/>
          <w:szCs w:val="16"/>
        </w:rPr>
        <w:t>DTN/STM/23.08.2022</w:t>
      </w:r>
      <w:bookmarkEnd w:id="2"/>
    </w:p>
    <w:sectPr w:rsidR="002328DD" w:rsidRPr="000918C9" w:rsidSect="002C5208">
      <w:headerReference w:type="default" r:id="rId8"/>
      <w:footerReference w:type="default" r:id="rId9"/>
      <w:pgSz w:w="11906" w:h="16838" w:code="9"/>
      <w:pgMar w:top="2549" w:right="746" w:bottom="1138" w:left="180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54C30" w14:textId="77777777" w:rsidR="00174938" w:rsidRDefault="00174938" w:rsidP="009772BD">
      <w:r>
        <w:separator/>
      </w:r>
    </w:p>
  </w:endnote>
  <w:endnote w:type="continuationSeparator" w:id="0">
    <w:p w14:paraId="21231516" w14:textId="77777777" w:rsidR="00174938" w:rsidRDefault="00174938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6C7D" w14:textId="1F23DCA6" w:rsidR="007E0EB2" w:rsidRDefault="007E0EB2" w:rsidP="009772BD">
    <w:pPr>
      <w:pStyle w:val="Footer1"/>
    </w:pPr>
    <w:r>
      <w:t xml:space="preserve">B-dul Dinicu Golescu 38, Sector 1, București </w:t>
    </w:r>
  </w:p>
  <w:p w14:paraId="7292B2AC" w14:textId="7C021DD1" w:rsidR="002328DD" w:rsidRPr="009772BD" w:rsidRDefault="002328DD" w:rsidP="009772BD">
    <w:pPr>
      <w:pStyle w:val="Footer1"/>
    </w:pPr>
    <w:r w:rsidRPr="009772BD">
      <w:t xml:space="preserve">Tel: +4 021 </w:t>
    </w:r>
    <w:r w:rsidR="007E0EB2">
      <w:t>3196203</w:t>
    </w:r>
    <w:r w:rsidRPr="009772BD">
      <w:t xml:space="preserve"> Fax: +4 0</w:t>
    </w:r>
    <w:r w:rsidR="007E0EB2">
      <w:t>750032441</w:t>
    </w:r>
    <w:r w:rsidRPr="009772BD">
      <w:t xml:space="preserve"> Email: ct@</w:t>
    </w:r>
    <w:r w:rsidR="00371A10">
      <w:t>mt.ro</w:t>
    </w:r>
  </w:p>
  <w:p w14:paraId="00DD7290" w14:textId="77777777" w:rsidR="002328DD" w:rsidRPr="009772BD" w:rsidRDefault="002328DD" w:rsidP="009772BD">
    <w:pPr>
      <w:pStyle w:val="Footer1"/>
    </w:pPr>
    <w:r w:rsidRPr="009772BD">
      <w:t>www.</w:t>
    </w:r>
    <w:r w:rsidR="00371A10">
      <w:t>mt.</w:t>
    </w:r>
    <w:proofErr w:type="spellStart"/>
    <w:r w:rsidR="00371A10">
      <w:t>gov</w:t>
    </w:r>
    <w:proofErr w:type="spellEnd"/>
    <w:r w:rsidR="00371A10">
      <w:t>.</w:t>
    </w:r>
    <w:r w:rsidRPr="009772BD">
      <w:t>.</w:t>
    </w:r>
    <w:proofErr w:type="spellStart"/>
    <w:r w:rsidRPr="009772BD">
      <w:t>ro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656B8" w14:textId="77777777" w:rsidR="00174938" w:rsidRDefault="00174938" w:rsidP="009772BD">
      <w:r>
        <w:separator/>
      </w:r>
    </w:p>
  </w:footnote>
  <w:footnote w:type="continuationSeparator" w:id="0">
    <w:p w14:paraId="53E7740B" w14:textId="77777777" w:rsidR="00174938" w:rsidRDefault="00174938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4296" w14:textId="0DD04BE4" w:rsidR="00B50898" w:rsidRPr="00B50898" w:rsidRDefault="00493720" w:rsidP="00B50898">
    <w:pPr>
      <w:pStyle w:val="Header"/>
      <w:rPr>
        <w:rFonts w:ascii="Trajan Pro" w:hAnsi="Trajan Pro"/>
        <w:color w:val="FF0000"/>
      </w:rPr>
    </w:pPr>
    <w:r w:rsidRPr="00493720">
      <w:rPr>
        <w:rFonts w:ascii="Trajan Pro" w:hAnsi="Trajan Pro"/>
        <w:noProof/>
        <w:color w:val="FF0000"/>
        <w:lang w:val="en-US"/>
      </w:rPr>
      <w:drawing>
        <wp:anchor distT="0" distB="0" distL="114300" distR="114300" simplePos="0" relativeHeight="251658240" behindDoc="1" locked="0" layoutInCell="1" allowOverlap="1" wp14:anchorId="0AFC179D" wp14:editId="7A5BD067">
          <wp:simplePos x="0" y="0"/>
          <wp:positionH relativeFrom="column">
            <wp:posOffset>-1297305</wp:posOffset>
          </wp:positionH>
          <wp:positionV relativeFrom="paragraph">
            <wp:posOffset>-37982</wp:posOffset>
          </wp:positionV>
          <wp:extent cx="6338491" cy="1343025"/>
          <wp:effectExtent l="0" t="0" r="5715" b="0"/>
          <wp:wrapNone/>
          <wp:docPr id="2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491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D5A"/>
    <w:multiLevelType w:val="hybridMultilevel"/>
    <w:tmpl w:val="52BE9B4C"/>
    <w:lvl w:ilvl="0" w:tplc="304C28C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745D4"/>
    <w:rsid w:val="000918C9"/>
    <w:rsid w:val="000E7C1E"/>
    <w:rsid w:val="00111321"/>
    <w:rsid w:val="00120690"/>
    <w:rsid w:val="001466DC"/>
    <w:rsid w:val="00174938"/>
    <w:rsid w:val="002328DD"/>
    <w:rsid w:val="00275E26"/>
    <w:rsid w:val="002C2380"/>
    <w:rsid w:val="002C5208"/>
    <w:rsid w:val="002F689F"/>
    <w:rsid w:val="00301177"/>
    <w:rsid w:val="00371A10"/>
    <w:rsid w:val="003C0E59"/>
    <w:rsid w:val="003C17A4"/>
    <w:rsid w:val="0040453A"/>
    <w:rsid w:val="00415707"/>
    <w:rsid w:val="00427B84"/>
    <w:rsid w:val="00450DA2"/>
    <w:rsid w:val="00493720"/>
    <w:rsid w:val="004F1C7A"/>
    <w:rsid w:val="005D7764"/>
    <w:rsid w:val="006400C9"/>
    <w:rsid w:val="006A17EF"/>
    <w:rsid w:val="006B643D"/>
    <w:rsid w:val="007B55DB"/>
    <w:rsid w:val="007E0EB2"/>
    <w:rsid w:val="008322BF"/>
    <w:rsid w:val="00840A24"/>
    <w:rsid w:val="009430B8"/>
    <w:rsid w:val="009772BD"/>
    <w:rsid w:val="00B50898"/>
    <w:rsid w:val="00B5430D"/>
    <w:rsid w:val="00BA2393"/>
    <w:rsid w:val="00C82C15"/>
    <w:rsid w:val="00D23DF9"/>
    <w:rsid w:val="00D76553"/>
    <w:rsid w:val="00D9456E"/>
    <w:rsid w:val="00DD6FB0"/>
    <w:rsid w:val="00DF35E2"/>
    <w:rsid w:val="00DF66A1"/>
    <w:rsid w:val="00E6505E"/>
    <w:rsid w:val="00E67B15"/>
    <w:rsid w:val="00E97023"/>
    <w:rsid w:val="00EE7AB3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BC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7A4"/>
    <w:pPr>
      <w:keepNext/>
      <w:spacing w:before="240" w:after="60"/>
      <w:ind w:left="1701"/>
      <w:outlineLvl w:val="0"/>
    </w:pPr>
    <w:rPr>
      <w:rFonts w:ascii="Calibri" w:eastAsia="MS Gothic" w:hAnsi="Calibri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2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3C17A4"/>
    <w:rPr>
      <w:rFonts w:ascii="Calibri" w:eastAsia="MS Gothic" w:hAnsi="Calibri" w:cs="Times New Roman"/>
      <w:b/>
      <w:bCs/>
      <w:kern w:val="32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7A4"/>
    <w:pPr>
      <w:spacing w:before="0" w:after="120"/>
      <w:ind w:left="360"/>
    </w:pPr>
    <w:rPr>
      <w:rFonts w:eastAsia="MS Mincho" w:cs="Times New Roman"/>
      <w:color w:val="auto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7A4"/>
    <w:rPr>
      <w:rFonts w:ascii="Trebuchet MS" w:eastAsia="MS Mincho" w:hAnsi="Trebuchet MS" w:cs="Times New Roman"/>
    </w:rPr>
  </w:style>
  <w:style w:type="paragraph" w:styleId="BodyText2">
    <w:name w:val="Body Text 2"/>
    <w:basedOn w:val="Normal"/>
    <w:link w:val="BodyText2Char"/>
    <w:semiHidden/>
    <w:unhideWhenUsed/>
    <w:rsid w:val="003C17A4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3C17A4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2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208"/>
    <w:rPr>
      <w:rFonts w:asciiTheme="majorHAnsi" w:eastAsiaTheme="majorEastAsia" w:hAnsiTheme="majorHAnsi" w:cstheme="majorBidi"/>
      <w:i/>
      <w:iCs/>
      <w:color w:val="2E74B5" w:themeColor="accent1" w:themeShade="BF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C5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5208"/>
    <w:rPr>
      <w:rFonts w:ascii="Trebuchet MS" w:hAnsi="Trebuchet MS" w:cs="Open Sans"/>
      <w:color w:val="000000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2C520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5def3">
    <w:name w:val="l5def3"/>
    <w:rsid w:val="002C520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7FCEA-B27C-433E-B146-E226E61A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2022-08-23T09:11:00Z</dcterms:created>
  <dcterms:modified xsi:type="dcterms:W3CDTF">2022-08-23T09:21:00Z</dcterms:modified>
</cp:coreProperties>
</file>