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B1D" w:rsidRPr="0052163A" w:rsidRDefault="00005B1D" w:rsidP="00531917">
      <w:pPr>
        <w:jc w:val="center"/>
        <w:rPr>
          <w:b/>
          <w:sz w:val="24"/>
          <w:szCs w:val="24"/>
        </w:rPr>
      </w:pPr>
    </w:p>
    <w:p w:rsidR="00FB3E1B" w:rsidRDefault="00FB3E1B" w:rsidP="00FB3E1B">
      <w:pPr>
        <w:rPr>
          <w:b/>
          <w:sz w:val="24"/>
          <w:szCs w:val="24"/>
        </w:rPr>
      </w:pPr>
    </w:p>
    <w:p w:rsidR="00FB3E1B" w:rsidRDefault="00FB3E1B" w:rsidP="00531917">
      <w:pPr>
        <w:jc w:val="center"/>
        <w:rPr>
          <w:b/>
          <w:sz w:val="24"/>
          <w:szCs w:val="24"/>
        </w:rPr>
      </w:pPr>
    </w:p>
    <w:p w:rsidR="00005B1D" w:rsidRPr="005F1FAF" w:rsidRDefault="00531917" w:rsidP="00FB3E1B">
      <w:pPr>
        <w:jc w:val="center"/>
        <w:rPr>
          <w:b/>
          <w:sz w:val="24"/>
          <w:szCs w:val="24"/>
        </w:rPr>
      </w:pPr>
      <w:r w:rsidRPr="005F1FAF">
        <w:rPr>
          <w:b/>
          <w:sz w:val="24"/>
          <w:szCs w:val="24"/>
        </w:rPr>
        <w:t>NOTĂ DE FUNDAMENTARE</w:t>
      </w:r>
    </w:p>
    <w:p w:rsidR="00FB3E1B" w:rsidRPr="005F1FAF" w:rsidRDefault="00FB3E1B" w:rsidP="00FB3E1B">
      <w:pPr>
        <w:rPr>
          <w:b/>
          <w:sz w:val="24"/>
          <w:szCs w:val="24"/>
        </w:rPr>
      </w:pPr>
    </w:p>
    <w:p w:rsidR="00005B1D" w:rsidRPr="005F1FAF" w:rsidRDefault="00005B1D" w:rsidP="002C66DD">
      <w:pPr>
        <w:pStyle w:val="BodyText"/>
        <w:spacing w:after="0"/>
        <w:jc w:val="center"/>
        <w:rPr>
          <w:b/>
          <w:bCs/>
          <w:i/>
          <w:sz w:val="24"/>
          <w:szCs w:val="24"/>
        </w:rPr>
      </w:pPr>
    </w:p>
    <w:p w:rsidR="004E757A" w:rsidRPr="005F1FAF" w:rsidRDefault="004E757A" w:rsidP="002C66DD">
      <w:pPr>
        <w:pStyle w:val="BodyText"/>
        <w:spacing w:after="0"/>
        <w:jc w:val="center"/>
        <w:rPr>
          <w:b/>
          <w:bCs/>
          <w:sz w:val="24"/>
          <w:szCs w:val="24"/>
        </w:rPr>
      </w:pPr>
      <w:proofErr w:type="spellStart"/>
      <w:r w:rsidRPr="005F1FAF">
        <w:rPr>
          <w:b/>
          <w:bCs/>
          <w:sz w:val="24"/>
          <w:szCs w:val="24"/>
        </w:rPr>
        <w:t>Secţiunea</w:t>
      </w:r>
      <w:proofErr w:type="spellEnd"/>
      <w:r w:rsidRPr="005F1FAF">
        <w:rPr>
          <w:b/>
          <w:bCs/>
          <w:sz w:val="24"/>
          <w:szCs w:val="24"/>
        </w:rPr>
        <w:t xml:space="preserve"> 1</w:t>
      </w:r>
    </w:p>
    <w:p w:rsidR="0096145B" w:rsidRPr="005F1FAF" w:rsidRDefault="004E757A" w:rsidP="002C66DD">
      <w:pPr>
        <w:pStyle w:val="BodyText"/>
        <w:spacing w:after="0"/>
        <w:jc w:val="center"/>
        <w:rPr>
          <w:b/>
          <w:bCs/>
          <w:sz w:val="24"/>
          <w:szCs w:val="24"/>
        </w:rPr>
      </w:pPr>
      <w:r w:rsidRPr="005F1FAF">
        <w:rPr>
          <w:b/>
          <w:bCs/>
          <w:sz w:val="24"/>
          <w:szCs w:val="24"/>
        </w:rPr>
        <w:t>Titlul prezentului act normativ</w:t>
      </w:r>
    </w:p>
    <w:p w:rsidR="00B07AEA" w:rsidRPr="005F1FAF" w:rsidRDefault="00B07AEA" w:rsidP="00FB3E1B">
      <w:pPr>
        <w:pStyle w:val="BodyText"/>
        <w:spacing w:after="0"/>
        <w:rPr>
          <w:b/>
          <w:bCs/>
          <w:sz w:val="24"/>
          <w:szCs w:val="24"/>
        </w:rPr>
      </w:pPr>
    </w:p>
    <w:tbl>
      <w:tblPr>
        <w:tblW w:w="994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3"/>
      </w:tblGrid>
      <w:tr w:rsidR="004E757A" w:rsidRPr="005F1FAF" w:rsidTr="0096145B">
        <w:trPr>
          <w:trHeight w:val="1378"/>
        </w:trPr>
        <w:tc>
          <w:tcPr>
            <w:tcW w:w="9943" w:type="dxa"/>
            <w:tcBorders>
              <w:top w:val="single" w:sz="4" w:space="0" w:color="auto"/>
              <w:left w:val="single" w:sz="4" w:space="0" w:color="auto"/>
              <w:bottom w:val="single" w:sz="4" w:space="0" w:color="auto"/>
              <w:right w:val="single" w:sz="4" w:space="0" w:color="auto"/>
            </w:tcBorders>
            <w:hideMark/>
          </w:tcPr>
          <w:p w:rsidR="00FB56B4" w:rsidRPr="005F1FAF" w:rsidRDefault="0052163A" w:rsidP="00B07AEA">
            <w:pPr>
              <w:jc w:val="both"/>
              <w:rPr>
                <w:b/>
                <w:bCs/>
                <w:sz w:val="24"/>
                <w:szCs w:val="24"/>
              </w:rPr>
            </w:pPr>
            <w:r w:rsidRPr="005F1FAF">
              <w:rPr>
                <w:b/>
                <w:sz w:val="24"/>
                <w:szCs w:val="24"/>
              </w:rPr>
              <w:t>Hotărâre a Guvernului</w:t>
            </w:r>
            <w:r w:rsidR="007A3528" w:rsidRPr="005F1FAF">
              <w:rPr>
                <w:b/>
                <w:sz w:val="24"/>
                <w:szCs w:val="24"/>
              </w:rPr>
              <w:t xml:space="preserve"> </w:t>
            </w:r>
            <w:r w:rsidR="0067604C" w:rsidRPr="005F1FAF">
              <w:rPr>
                <w:rStyle w:val="tpa1"/>
                <w:b/>
                <w:sz w:val="24"/>
                <w:szCs w:val="24"/>
              </w:rPr>
              <w:t>privind suplimentarea pe anul 2021 a sumei prevăzute ca justă despăgubire aprobate prin</w:t>
            </w:r>
            <w:r w:rsidR="0067604C" w:rsidRPr="005F1FAF">
              <w:rPr>
                <w:b/>
                <w:bCs/>
                <w:sz w:val="24"/>
                <w:szCs w:val="24"/>
                <w:lang w:eastAsia="ar-SA"/>
              </w:rPr>
              <w:t xml:space="preserve"> Hotărârea Guvernului nr.</w:t>
            </w:r>
            <w:r w:rsidR="00426574" w:rsidRPr="005F1FAF">
              <w:rPr>
                <w:b/>
                <w:bCs/>
                <w:sz w:val="24"/>
                <w:szCs w:val="24"/>
                <w:lang w:eastAsia="ar-SA"/>
              </w:rPr>
              <w:t xml:space="preserve"> </w:t>
            </w:r>
            <w:hyperlink r:id="rId8" w:history="1">
              <w:r w:rsidR="0067604C" w:rsidRPr="005F1FAF">
                <w:rPr>
                  <w:rStyle w:val="Hyperlink"/>
                  <w:b/>
                  <w:bCs/>
                  <w:color w:val="auto"/>
                  <w:sz w:val="24"/>
                  <w:szCs w:val="24"/>
                  <w:u w:val="none"/>
                  <w:lang w:val="en-US"/>
                </w:rPr>
                <w:t>499/2010</w:t>
              </w:r>
            </w:hyperlink>
            <w:r w:rsidR="0067604C" w:rsidRPr="005F1FAF">
              <w:rPr>
                <w:b/>
                <w:bCs/>
                <w:sz w:val="24"/>
                <w:szCs w:val="24"/>
                <w:lang w:val="en-US"/>
              </w:rPr>
              <w:t xml:space="preserve"> </w:t>
            </w:r>
            <w:proofErr w:type="spellStart"/>
            <w:r w:rsidR="0067604C" w:rsidRPr="005F1FAF">
              <w:rPr>
                <w:b/>
                <w:bCs/>
                <w:sz w:val="24"/>
                <w:szCs w:val="24"/>
                <w:lang w:val="en-US"/>
              </w:rPr>
              <w:t>privind</w:t>
            </w:r>
            <w:proofErr w:type="spellEnd"/>
            <w:r w:rsidR="0067604C" w:rsidRPr="005F1FAF">
              <w:rPr>
                <w:b/>
                <w:bCs/>
                <w:sz w:val="24"/>
                <w:szCs w:val="24"/>
                <w:lang w:val="en-US"/>
              </w:rPr>
              <w:t xml:space="preserve"> </w:t>
            </w:r>
            <w:proofErr w:type="spellStart"/>
            <w:r w:rsidR="0067604C" w:rsidRPr="005F1FAF">
              <w:rPr>
                <w:b/>
                <w:bCs/>
                <w:sz w:val="24"/>
                <w:szCs w:val="24"/>
                <w:lang w:val="en-US"/>
              </w:rPr>
              <w:t>declanşarea</w:t>
            </w:r>
            <w:proofErr w:type="spellEnd"/>
            <w:r w:rsidR="0067604C" w:rsidRPr="005F1FAF">
              <w:rPr>
                <w:b/>
                <w:bCs/>
                <w:sz w:val="24"/>
                <w:szCs w:val="24"/>
                <w:lang w:val="en-US"/>
              </w:rPr>
              <w:t xml:space="preserve"> </w:t>
            </w:r>
            <w:proofErr w:type="spellStart"/>
            <w:r w:rsidR="0067604C" w:rsidRPr="005F1FAF">
              <w:rPr>
                <w:b/>
                <w:bCs/>
                <w:sz w:val="24"/>
                <w:szCs w:val="24"/>
                <w:lang w:val="en-US"/>
              </w:rPr>
              <w:t>procedurilor</w:t>
            </w:r>
            <w:proofErr w:type="spellEnd"/>
            <w:r w:rsidR="0067604C" w:rsidRPr="005F1FAF">
              <w:rPr>
                <w:b/>
                <w:bCs/>
                <w:sz w:val="24"/>
                <w:szCs w:val="24"/>
                <w:lang w:val="en-US"/>
              </w:rPr>
              <w:t xml:space="preserve"> de </w:t>
            </w:r>
            <w:proofErr w:type="spellStart"/>
            <w:r w:rsidR="0067604C" w:rsidRPr="005F1FAF">
              <w:rPr>
                <w:b/>
                <w:bCs/>
                <w:sz w:val="24"/>
                <w:szCs w:val="24"/>
                <w:lang w:val="en-US"/>
              </w:rPr>
              <w:t>expropriere</w:t>
            </w:r>
            <w:proofErr w:type="spellEnd"/>
            <w:r w:rsidR="0067604C" w:rsidRPr="005F1FAF">
              <w:rPr>
                <w:b/>
                <w:bCs/>
                <w:sz w:val="24"/>
                <w:szCs w:val="24"/>
                <w:lang w:val="en-US"/>
              </w:rPr>
              <w:t xml:space="preserve"> a </w:t>
            </w:r>
            <w:proofErr w:type="spellStart"/>
            <w:r w:rsidR="0067604C" w:rsidRPr="005F1FAF">
              <w:rPr>
                <w:b/>
                <w:bCs/>
                <w:sz w:val="24"/>
                <w:szCs w:val="24"/>
                <w:lang w:val="en-US"/>
              </w:rPr>
              <w:t>imobilelor</w:t>
            </w:r>
            <w:proofErr w:type="spellEnd"/>
            <w:r w:rsidR="0067604C" w:rsidRPr="005F1FAF">
              <w:rPr>
                <w:b/>
                <w:bCs/>
                <w:sz w:val="24"/>
                <w:szCs w:val="24"/>
                <w:lang w:val="en-US"/>
              </w:rPr>
              <w:t xml:space="preserve"> </w:t>
            </w:r>
            <w:proofErr w:type="spellStart"/>
            <w:r w:rsidR="0067604C" w:rsidRPr="005F1FAF">
              <w:rPr>
                <w:b/>
                <w:bCs/>
                <w:sz w:val="24"/>
                <w:szCs w:val="24"/>
                <w:lang w:val="en-US"/>
              </w:rPr>
              <w:t>proprietate</w:t>
            </w:r>
            <w:proofErr w:type="spellEnd"/>
            <w:r w:rsidR="0067604C" w:rsidRPr="005F1FAF">
              <w:rPr>
                <w:b/>
                <w:bCs/>
                <w:sz w:val="24"/>
                <w:szCs w:val="24"/>
                <w:lang w:val="en-US"/>
              </w:rPr>
              <w:t xml:space="preserve"> </w:t>
            </w:r>
            <w:proofErr w:type="spellStart"/>
            <w:r w:rsidR="0067604C" w:rsidRPr="005F1FAF">
              <w:rPr>
                <w:b/>
                <w:bCs/>
                <w:sz w:val="24"/>
                <w:szCs w:val="24"/>
                <w:lang w:val="en-US"/>
              </w:rPr>
              <w:t>privată</w:t>
            </w:r>
            <w:proofErr w:type="spellEnd"/>
            <w:r w:rsidR="0067604C" w:rsidRPr="005F1FAF">
              <w:rPr>
                <w:b/>
                <w:bCs/>
                <w:sz w:val="24"/>
                <w:szCs w:val="24"/>
                <w:lang w:val="en-US"/>
              </w:rPr>
              <w:t xml:space="preserve"> situate </w:t>
            </w:r>
            <w:proofErr w:type="spellStart"/>
            <w:r w:rsidR="0067604C" w:rsidRPr="005F1FAF">
              <w:rPr>
                <w:b/>
                <w:bCs/>
                <w:sz w:val="24"/>
                <w:szCs w:val="24"/>
                <w:lang w:val="en-US"/>
              </w:rPr>
              <w:t>pe</w:t>
            </w:r>
            <w:proofErr w:type="spellEnd"/>
            <w:r w:rsidR="0067604C" w:rsidRPr="005F1FAF">
              <w:rPr>
                <w:b/>
                <w:bCs/>
                <w:sz w:val="24"/>
                <w:szCs w:val="24"/>
                <w:lang w:val="en-US"/>
              </w:rPr>
              <w:t xml:space="preserve"> </w:t>
            </w:r>
            <w:proofErr w:type="spellStart"/>
            <w:r w:rsidR="0067604C" w:rsidRPr="005F1FAF">
              <w:rPr>
                <w:b/>
                <w:bCs/>
                <w:sz w:val="24"/>
                <w:szCs w:val="24"/>
                <w:lang w:val="en-US"/>
              </w:rPr>
              <w:t>amplasamentul</w:t>
            </w:r>
            <w:proofErr w:type="spellEnd"/>
            <w:r w:rsidR="0067604C" w:rsidRPr="005F1FAF">
              <w:rPr>
                <w:b/>
                <w:bCs/>
                <w:sz w:val="24"/>
                <w:szCs w:val="24"/>
                <w:lang w:val="en-US"/>
              </w:rPr>
              <w:t xml:space="preserve"> </w:t>
            </w:r>
            <w:proofErr w:type="spellStart"/>
            <w:r w:rsidR="0067604C" w:rsidRPr="005F1FAF">
              <w:rPr>
                <w:b/>
                <w:bCs/>
                <w:sz w:val="24"/>
                <w:szCs w:val="24"/>
                <w:lang w:val="en-US"/>
              </w:rPr>
              <w:t>lucrării</w:t>
            </w:r>
            <w:proofErr w:type="spellEnd"/>
            <w:r w:rsidR="0067604C" w:rsidRPr="005F1FAF">
              <w:rPr>
                <w:b/>
                <w:bCs/>
                <w:sz w:val="24"/>
                <w:szCs w:val="24"/>
                <w:lang w:val="en-US"/>
              </w:rPr>
              <w:t xml:space="preserve"> de </w:t>
            </w:r>
            <w:proofErr w:type="spellStart"/>
            <w:r w:rsidR="0067604C" w:rsidRPr="005F1FAF">
              <w:rPr>
                <w:b/>
                <w:bCs/>
                <w:sz w:val="24"/>
                <w:szCs w:val="24"/>
                <w:lang w:val="en-US"/>
              </w:rPr>
              <w:t>utilitate</w:t>
            </w:r>
            <w:proofErr w:type="spellEnd"/>
            <w:r w:rsidR="0067604C" w:rsidRPr="005F1FAF">
              <w:rPr>
                <w:b/>
                <w:bCs/>
                <w:sz w:val="24"/>
                <w:szCs w:val="24"/>
                <w:lang w:val="en-US"/>
              </w:rPr>
              <w:t xml:space="preserve"> </w:t>
            </w:r>
            <w:proofErr w:type="spellStart"/>
            <w:r w:rsidR="0067604C" w:rsidRPr="005F1FAF">
              <w:rPr>
                <w:b/>
                <w:bCs/>
                <w:sz w:val="24"/>
                <w:szCs w:val="24"/>
                <w:lang w:val="en-US"/>
              </w:rPr>
              <w:t>publică</w:t>
            </w:r>
            <w:proofErr w:type="spellEnd"/>
            <w:r w:rsidR="0067604C" w:rsidRPr="005F1FAF">
              <w:rPr>
                <w:b/>
                <w:bCs/>
                <w:sz w:val="24"/>
                <w:szCs w:val="24"/>
                <w:lang w:val="en-US"/>
              </w:rPr>
              <w:t xml:space="preserve"> “</w:t>
            </w:r>
            <w:proofErr w:type="spellStart"/>
            <w:r w:rsidR="0067604C" w:rsidRPr="005F1FAF">
              <w:rPr>
                <w:b/>
                <w:bCs/>
                <w:sz w:val="24"/>
                <w:szCs w:val="24"/>
                <w:lang w:val="en-US"/>
              </w:rPr>
              <w:t>Lărgire</w:t>
            </w:r>
            <w:proofErr w:type="spellEnd"/>
            <w:r w:rsidR="0067604C" w:rsidRPr="005F1FAF">
              <w:rPr>
                <w:b/>
                <w:bCs/>
                <w:sz w:val="24"/>
                <w:szCs w:val="24"/>
                <w:lang w:val="en-US"/>
              </w:rPr>
              <w:t xml:space="preserve"> la 4 </w:t>
            </w:r>
            <w:proofErr w:type="spellStart"/>
            <w:r w:rsidR="0067604C" w:rsidRPr="005F1FAF">
              <w:rPr>
                <w:b/>
                <w:bCs/>
                <w:sz w:val="24"/>
                <w:szCs w:val="24"/>
                <w:lang w:val="en-US"/>
              </w:rPr>
              <w:t>benzi</w:t>
            </w:r>
            <w:proofErr w:type="spellEnd"/>
            <w:r w:rsidR="0067604C" w:rsidRPr="005F1FAF">
              <w:rPr>
                <w:b/>
                <w:bCs/>
                <w:sz w:val="24"/>
                <w:szCs w:val="24"/>
                <w:lang w:val="en-US"/>
              </w:rPr>
              <w:t xml:space="preserve"> - </w:t>
            </w:r>
            <w:proofErr w:type="spellStart"/>
            <w:r w:rsidR="0067604C" w:rsidRPr="005F1FAF">
              <w:rPr>
                <w:b/>
                <w:bCs/>
                <w:sz w:val="24"/>
                <w:szCs w:val="24"/>
                <w:lang w:val="en-US"/>
              </w:rPr>
              <w:t>Centura</w:t>
            </w:r>
            <w:proofErr w:type="spellEnd"/>
            <w:r w:rsidR="0067604C" w:rsidRPr="005F1FAF">
              <w:rPr>
                <w:b/>
                <w:bCs/>
                <w:sz w:val="24"/>
                <w:szCs w:val="24"/>
                <w:lang w:val="en-US"/>
              </w:rPr>
              <w:t xml:space="preserve"> </w:t>
            </w:r>
            <w:proofErr w:type="spellStart"/>
            <w:r w:rsidR="0067604C" w:rsidRPr="005F1FAF">
              <w:rPr>
                <w:b/>
                <w:bCs/>
                <w:sz w:val="24"/>
                <w:szCs w:val="24"/>
                <w:lang w:val="en-US"/>
              </w:rPr>
              <w:t>Bucureşti</w:t>
            </w:r>
            <w:proofErr w:type="spellEnd"/>
            <w:r w:rsidR="0067604C" w:rsidRPr="005F1FAF">
              <w:rPr>
                <w:b/>
                <w:bCs/>
                <w:sz w:val="24"/>
                <w:szCs w:val="24"/>
                <w:lang w:val="en-US"/>
              </w:rPr>
              <w:t xml:space="preserve"> </w:t>
            </w:r>
            <w:proofErr w:type="spellStart"/>
            <w:r w:rsidR="0067604C" w:rsidRPr="005F1FAF">
              <w:rPr>
                <w:b/>
                <w:bCs/>
                <w:sz w:val="24"/>
                <w:szCs w:val="24"/>
                <w:lang w:val="en-US"/>
              </w:rPr>
              <w:t>Sud</w:t>
            </w:r>
            <w:proofErr w:type="spellEnd"/>
            <w:r w:rsidR="0067604C" w:rsidRPr="005F1FAF">
              <w:rPr>
                <w:b/>
                <w:bCs/>
                <w:sz w:val="24"/>
                <w:szCs w:val="24"/>
                <w:lang w:val="en-US"/>
              </w:rPr>
              <w:t xml:space="preserve"> </w:t>
            </w:r>
            <w:proofErr w:type="spellStart"/>
            <w:r w:rsidR="0067604C" w:rsidRPr="005F1FAF">
              <w:rPr>
                <w:b/>
                <w:bCs/>
                <w:sz w:val="24"/>
                <w:szCs w:val="24"/>
                <w:lang w:val="en-US"/>
              </w:rPr>
              <w:t>între</w:t>
            </w:r>
            <w:proofErr w:type="spellEnd"/>
            <w:r w:rsidR="0067604C" w:rsidRPr="005F1FAF">
              <w:rPr>
                <w:b/>
                <w:bCs/>
                <w:sz w:val="24"/>
                <w:szCs w:val="24"/>
                <w:lang w:val="en-US"/>
              </w:rPr>
              <w:t xml:space="preserve"> A2 (km 23+600) </w:t>
            </w:r>
            <w:proofErr w:type="spellStart"/>
            <w:r w:rsidR="0067604C" w:rsidRPr="005F1FAF">
              <w:rPr>
                <w:b/>
                <w:bCs/>
                <w:sz w:val="24"/>
                <w:szCs w:val="24"/>
                <w:lang w:val="en-US"/>
              </w:rPr>
              <w:t>şi</w:t>
            </w:r>
            <w:proofErr w:type="spellEnd"/>
            <w:r w:rsidR="0067604C" w:rsidRPr="005F1FAF">
              <w:rPr>
                <w:b/>
                <w:bCs/>
                <w:sz w:val="24"/>
                <w:szCs w:val="24"/>
                <w:lang w:val="en-US"/>
              </w:rPr>
              <w:t xml:space="preserve"> A1 (km 55+520)”</w:t>
            </w:r>
            <w:r w:rsidR="0067604C" w:rsidRPr="005F1FAF">
              <w:rPr>
                <w:b/>
                <w:bCs/>
                <w:sz w:val="24"/>
                <w:szCs w:val="24"/>
              </w:rPr>
              <w:t xml:space="preserve">, </w:t>
            </w:r>
            <w:r w:rsidR="0067604C" w:rsidRPr="005F1FAF">
              <w:rPr>
                <w:rStyle w:val="tpa1"/>
                <w:b/>
                <w:sz w:val="24"/>
                <w:szCs w:val="24"/>
              </w:rPr>
              <w:t>precum și modificarea</w:t>
            </w:r>
            <w:r w:rsidR="009009B0" w:rsidRPr="005F1FAF">
              <w:rPr>
                <w:rStyle w:val="tpa1"/>
                <w:b/>
                <w:sz w:val="24"/>
                <w:szCs w:val="24"/>
              </w:rPr>
              <w:t xml:space="preserve"> și completarea</w:t>
            </w:r>
            <w:r w:rsidR="0067604C" w:rsidRPr="005F1FAF">
              <w:rPr>
                <w:rStyle w:val="tpa1"/>
                <w:b/>
                <w:sz w:val="24"/>
                <w:szCs w:val="24"/>
              </w:rPr>
              <w:t xml:space="preserve"> anexei nr. 2 la Hotărârea Guvernului nr.</w:t>
            </w:r>
            <w:r w:rsidR="0067604C" w:rsidRPr="005F1FAF">
              <w:rPr>
                <w:b/>
                <w:bCs/>
                <w:sz w:val="24"/>
                <w:szCs w:val="24"/>
              </w:rPr>
              <w:t xml:space="preserve"> 499/2010</w:t>
            </w:r>
          </w:p>
        </w:tc>
      </w:tr>
    </w:tbl>
    <w:p w:rsidR="00005B1D" w:rsidRPr="005F1FAF" w:rsidRDefault="00005B1D" w:rsidP="004E757A">
      <w:pPr>
        <w:pStyle w:val="ListParagraph1"/>
        <w:ind w:left="0"/>
        <w:jc w:val="center"/>
      </w:pPr>
    </w:p>
    <w:p w:rsidR="004E757A" w:rsidRPr="005F1FAF" w:rsidRDefault="004E757A" w:rsidP="004E757A">
      <w:pPr>
        <w:pStyle w:val="ListParagraph1"/>
        <w:ind w:left="0"/>
        <w:jc w:val="center"/>
        <w:rPr>
          <w:b/>
        </w:rPr>
      </w:pPr>
      <w:proofErr w:type="spellStart"/>
      <w:r w:rsidRPr="005F1FAF">
        <w:rPr>
          <w:b/>
        </w:rPr>
        <w:t>Secţiunea</w:t>
      </w:r>
      <w:proofErr w:type="spellEnd"/>
      <w:r w:rsidRPr="005F1FAF">
        <w:rPr>
          <w:b/>
        </w:rPr>
        <w:t xml:space="preserve"> a 2-a</w:t>
      </w:r>
    </w:p>
    <w:p w:rsidR="004E757A" w:rsidRPr="005F1FAF" w:rsidRDefault="004E757A" w:rsidP="004E757A">
      <w:pPr>
        <w:pStyle w:val="ListParagraph1"/>
        <w:ind w:left="0"/>
        <w:jc w:val="center"/>
        <w:rPr>
          <w:b/>
        </w:rPr>
      </w:pPr>
      <w:r w:rsidRPr="005F1FAF">
        <w:rPr>
          <w:b/>
        </w:rPr>
        <w:t>Motivele emiterii actului normativ</w:t>
      </w:r>
    </w:p>
    <w:p w:rsidR="00792FAE" w:rsidRPr="005F1FAF" w:rsidRDefault="00792FAE" w:rsidP="004E757A">
      <w:pPr>
        <w:pStyle w:val="ListParagraph1"/>
        <w:ind w:left="0"/>
        <w:jc w:val="center"/>
        <w:rPr>
          <w:b/>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830"/>
      </w:tblGrid>
      <w:tr w:rsidR="004E757A" w:rsidRPr="005F1FAF" w:rsidTr="00632702">
        <w:trPr>
          <w:trHeight w:val="90"/>
        </w:trPr>
        <w:tc>
          <w:tcPr>
            <w:tcW w:w="189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jc w:val="both"/>
              <w:rPr>
                <w:sz w:val="24"/>
                <w:szCs w:val="24"/>
              </w:rPr>
            </w:pPr>
            <w:r w:rsidRPr="005F1FAF">
              <w:rPr>
                <w:sz w:val="24"/>
                <w:szCs w:val="24"/>
              </w:rPr>
              <w:t>1.</w:t>
            </w:r>
            <w:r w:rsidRPr="005F1FAF">
              <w:rPr>
                <w:b/>
                <w:sz w:val="24"/>
                <w:szCs w:val="24"/>
              </w:rPr>
              <w:t xml:space="preserve"> </w:t>
            </w:r>
            <w:r w:rsidRPr="005F1FAF">
              <w:rPr>
                <w:sz w:val="24"/>
                <w:szCs w:val="24"/>
              </w:rPr>
              <w:t xml:space="preserve">Descrierea </w:t>
            </w:r>
            <w:proofErr w:type="spellStart"/>
            <w:r w:rsidRPr="005F1FAF">
              <w:rPr>
                <w:sz w:val="24"/>
                <w:szCs w:val="24"/>
              </w:rPr>
              <w:t>situaţiei</w:t>
            </w:r>
            <w:proofErr w:type="spellEnd"/>
            <w:r w:rsidRPr="005F1FAF">
              <w:rPr>
                <w:sz w:val="24"/>
                <w:szCs w:val="24"/>
              </w:rPr>
              <w:t xml:space="preserve"> actuale</w:t>
            </w:r>
          </w:p>
          <w:p w:rsidR="004E757A" w:rsidRPr="005F1FAF" w:rsidRDefault="004E757A" w:rsidP="009E618A">
            <w:pPr>
              <w:rPr>
                <w:sz w:val="24"/>
                <w:szCs w:val="24"/>
              </w:rPr>
            </w:pPr>
          </w:p>
          <w:p w:rsidR="004E757A" w:rsidRPr="005F1FAF" w:rsidRDefault="004E757A" w:rsidP="009E618A">
            <w:pPr>
              <w:rPr>
                <w:b/>
                <w:sz w:val="24"/>
                <w:szCs w:val="24"/>
              </w:rPr>
            </w:pPr>
          </w:p>
          <w:p w:rsidR="004E757A" w:rsidRPr="005F1FAF" w:rsidRDefault="004E757A" w:rsidP="009E618A">
            <w:pPr>
              <w:rPr>
                <w:b/>
                <w:sz w:val="24"/>
                <w:szCs w:val="24"/>
              </w:rPr>
            </w:pPr>
          </w:p>
        </w:tc>
        <w:tc>
          <w:tcPr>
            <w:tcW w:w="7830" w:type="dxa"/>
            <w:tcBorders>
              <w:top w:val="single" w:sz="4" w:space="0" w:color="auto"/>
              <w:left w:val="single" w:sz="4" w:space="0" w:color="auto"/>
              <w:bottom w:val="single" w:sz="4" w:space="0" w:color="auto"/>
              <w:right w:val="single" w:sz="4" w:space="0" w:color="auto"/>
            </w:tcBorders>
            <w:hideMark/>
          </w:tcPr>
          <w:p w:rsidR="004E757A" w:rsidRPr="005F1FAF" w:rsidRDefault="004E757A" w:rsidP="00B0425D">
            <w:pPr>
              <w:autoSpaceDE w:val="0"/>
              <w:autoSpaceDN w:val="0"/>
              <w:adjustRightInd w:val="0"/>
              <w:jc w:val="both"/>
              <w:rPr>
                <w:sz w:val="24"/>
                <w:szCs w:val="24"/>
              </w:rPr>
            </w:pPr>
            <w:r w:rsidRPr="005F1FAF">
              <w:rPr>
                <w:sz w:val="24"/>
                <w:szCs w:val="24"/>
              </w:rPr>
              <w:t xml:space="preserve">     </w:t>
            </w:r>
            <w:r w:rsidR="009A0A88" w:rsidRPr="005F1FAF">
              <w:rPr>
                <w:sz w:val="24"/>
                <w:szCs w:val="24"/>
              </w:rPr>
              <w:t xml:space="preserve">     </w:t>
            </w:r>
            <w:r w:rsidRPr="005F1FAF">
              <w:rPr>
                <w:sz w:val="24"/>
                <w:szCs w:val="24"/>
              </w:rPr>
              <w:t xml:space="preserve">Cadrul general al politicii Guvernului constă în asigurarea </w:t>
            </w:r>
            <w:proofErr w:type="spellStart"/>
            <w:r w:rsidRPr="005F1FAF">
              <w:rPr>
                <w:sz w:val="24"/>
                <w:szCs w:val="24"/>
              </w:rPr>
              <w:t>şi</w:t>
            </w:r>
            <w:proofErr w:type="spellEnd"/>
            <w:r w:rsidRPr="005F1FAF">
              <w:rPr>
                <w:sz w:val="24"/>
                <w:szCs w:val="24"/>
              </w:rPr>
              <w:t xml:space="preserve"> </w:t>
            </w:r>
            <w:proofErr w:type="spellStart"/>
            <w:r w:rsidRPr="005F1FAF">
              <w:rPr>
                <w:sz w:val="24"/>
                <w:szCs w:val="24"/>
              </w:rPr>
              <w:t>susţinerea</w:t>
            </w:r>
            <w:proofErr w:type="spellEnd"/>
            <w:r w:rsidRPr="005F1FAF">
              <w:rPr>
                <w:sz w:val="24"/>
                <w:szCs w:val="24"/>
              </w:rPr>
              <w:t xml:space="preserve"> unei infrastructuri adecvate dezvoltării obiectivelor social economice prin modernizarea, dezvoltarea </w:t>
            </w:r>
            <w:proofErr w:type="spellStart"/>
            <w:r w:rsidRPr="005F1FAF">
              <w:rPr>
                <w:sz w:val="24"/>
                <w:szCs w:val="24"/>
              </w:rPr>
              <w:t>şi</w:t>
            </w:r>
            <w:proofErr w:type="spellEnd"/>
            <w:r w:rsidRPr="005F1FAF">
              <w:rPr>
                <w:sz w:val="24"/>
                <w:szCs w:val="24"/>
              </w:rPr>
              <w:t xml:space="preserve"> administrarea eficientă a sectorului rutier, cu acces pe extinderea numărului de auto</w:t>
            </w:r>
            <w:r w:rsidR="00C23363" w:rsidRPr="005F1FAF">
              <w:rPr>
                <w:sz w:val="24"/>
                <w:szCs w:val="24"/>
              </w:rPr>
              <w:t>stră</w:t>
            </w:r>
            <w:r w:rsidR="009A0A88" w:rsidRPr="005F1FAF">
              <w:rPr>
                <w:sz w:val="24"/>
                <w:szCs w:val="24"/>
              </w:rPr>
              <w:t>z</w:t>
            </w:r>
            <w:r w:rsidRPr="005F1FAF">
              <w:rPr>
                <w:sz w:val="24"/>
                <w:szCs w:val="24"/>
              </w:rPr>
              <w:t xml:space="preserve">i, modernizarea drumurilor existente, a podurilor </w:t>
            </w:r>
            <w:proofErr w:type="spellStart"/>
            <w:r w:rsidRPr="005F1FAF">
              <w:rPr>
                <w:sz w:val="24"/>
                <w:szCs w:val="24"/>
              </w:rPr>
              <w:t>şi</w:t>
            </w:r>
            <w:proofErr w:type="spellEnd"/>
            <w:r w:rsidRPr="005F1FAF">
              <w:rPr>
                <w:sz w:val="24"/>
                <w:szCs w:val="24"/>
              </w:rPr>
              <w:t xml:space="preserve"> a tuturor </w:t>
            </w:r>
            <w:proofErr w:type="spellStart"/>
            <w:r w:rsidRPr="005F1FAF">
              <w:rPr>
                <w:sz w:val="24"/>
                <w:szCs w:val="24"/>
              </w:rPr>
              <w:t>facilităţilor</w:t>
            </w:r>
            <w:proofErr w:type="spellEnd"/>
            <w:r w:rsidRPr="005F1FAF">
              <w:rPr>
                <w:sz w:val="24"/>
                <w:szCs w:val="24"/>
              </w:rPr>
              <w:t xml:space="preserve"> aferente. </w:t>
            </w:r>
          </w:p>
          <w:p w:rsidR="00B07AEA" w:rsidRPr="005F1FAF" w:rsidRDefault="000F44E3" w:rsidP="00B0425D">
            <w:pPr>
              <w:autoSpaceDE w:val="0"/>
              <w:autoSpaceDN w:val="0"/>
              <w:adjustRightInd w:val="0"/>
              <w:jc w:val="both"/>
              <w:rPr>
                <w:bCs/>
              </w:rPr>
            </w:pPr>
            <w:r w:rsidRPr="005F1FAF">
              <w:rPr>
                <w:sz w:val="24"/>
                <w:szCs w:val="24"/>
              </w:rPr>
              <w:t xml:space="preserve">     </w:t>
            </w:r>
            <w:r w:rsidR="009A0A88" w:rsidRPr="005F1FAF">
              <w:rPr>
                <w:sz w:val="24"/>
                <w:szCs w:val="24"/>
              </w:rPr>
              <w:t xml:space="preserve">     </w:t>
            </w:r>
            <w:r w:rsidR="008C3FCE" w:rsidRPr="005F1FAF">
              <w:rPr>
                <w:sz w:val="24"/>
                <w:szCs w:val="24"/>
              </w:rPr>
              <w:t xml:space="preserve">Pentru realizarea </w:t>
            </w:r>
            <w:r w:rsidR="00B07AEA" w:rsidRPr="005F1FAF">
              <w:rPr>
                <w:sz w:val="24"/>
                <w:szCs w:val="24"/>
              </w:rPr>
              <w:t xml:space="preserve">obiectivului de investiții </w:t>
            </w:r>
            <w:r w:rsidR="009A0A88" w:rsidRPr="005F1FAF">
              <w:rPr>
                <w:bCs/>
                <w:sz w:val="24"/>
                <w:szCs w:val="24"/>
                <w:lang w:eastAsia="ar-SA"/>
              </w:rPr>
              <w:t>„</w:t>
            </w:r>
            <w:r w:rsidR="00766F2F" w:rsidRPr="005F1FAF">
              <w:rPr>
                <w:bCs/>
                <w:sz w:val="24"/>
                <w:szCs w:val="24"/>
                <w:lang w:eastAsia="ar-SA"/>
              </w:rPr>
              <w:t>L</w:t>
            </w:r>
            <w:proofErr w:type="spellStart"/>
            <w:r w:rsidR="00766F2F" w:rsidRPr="005F1FAF">
              <w:rPr>
                <w:bCs/>
                <w:sz w:val="24"/>
                <w:szCs w:val="24"/>
                <w:lang w:val="en-US"/>
              </w:rPr>
              <w:t>ărgire</w:t>
            </w:r>
            <w:proofErr w:type="spellEnd"/>
            <w:r w:rsidR="00766F2F" w:rsidRPr="005F1FAF">
              <w:rPr>
                <w:bCs/>
                <w:sz w:val="24"/>
                <w:szCs w:val="24"/>
                <w:lang w:val="en-US"/>
              </w:rPr>
              <w:t xml:space="preserve"> la 4 </w:t>
            </w:r>
            <w:proofErr w:type="spellStart"/>
            <w:r w:rsidR="00766F2F" w:rsidRPr="005F1FAF">
              <w:rPr>
                <w:bCs/>
                <w:sz w:val="24"/>
                <w:szCs w:val="24"/>
                <w:lang w:val="en-US"/>
              </w:rPr>
              <w:t>benzi</w:t>
            </w:r>
            <w:proofErr w:type="spellEnd"/>
            <w:r w:rsidR="00766F2F" w:rsidRPr="005F1FAF">
              <w:rPr>
                <w:bCs/>
                <w:sz w:val="24"/>
                <w:szCs w:val="24"/>
                <w:lang w:val="en-US"/>
              </w:rPr>
              <w:t xml:space="preserve"> - </w:t>
            </w:r>
            <w:proofErr w:type="spellStart"/>
            <w:r w:rsidR="00766F2F" w:rsidRPr="005F1FAF">
              <w:rPr>
                <w:bCs/>
                <w:sz w:val="24"/>
                <w:szCs w:val="24"/>
                <w:lang w:val="en-US"/>
              </w:rPr>
              <w:t>Centura</w:t>
            </w:r>
            <w:proofErr w:type="spellEnd"/>
            <w:r w:rsidR="00766F2F" w:rsidRPr="005F1FAF">
              <w:rPr>
                <w:bCs/>
                <w:sz w:val="24"/>
                <w:szCs w:val="24"/>
                <w:lang w:val="en-US"/>
              </w:rPr>
              <w:t xml:space="preserve"> </w:t>
            </w:r>
            <w:proofErr w:type="spellStart"/>
            <w:r w:rsidR="00766F2F" w:rsidRPr="005F1FAF">
              <w:rPr>
                <w:bCs/>
                <w:sz w:val="24"/>
                <w:szCs w:val="24"/>
                <w:lang w:val="en-US"/>
              </w:rPr>
              <w:t>Bucureşti</w:t>
            </w:r>
            <w:proofErr w:type="spellEnd"/>
            <w:r w:rsidR="00766F2F" w:rsidRPr="005F1FAF">
              <w:rPr>
                <w:bCs/>
                <w:sz w:val="24"/>
                <w:szCs w:val="24"/>
                <w:lang w:val="en-US"/>
              </w:rPr>
              <w:t xml:space="preserve"> </w:t>
            </w:r>
            <w:proofErr w:type="spellStart"/>
            <w:r w:rsidR="00766F2F" w:rsidRPr="005F1FAF">
              <w:rPr>
                <w:bCs/>
                <w:sz w:val="24"/>
                <w:szCs w:val="24"/>
                <w:lang w:val="en-US"/>
              </w:rPr>
              <w:t>Sud</w:t>
            </w:r>
            <w:proofErr w:type="spellEnd"/>
            <w:r w:rsidR="00766F2F" w:rsidRPr="005F1FAF">
              <w:rPr>
                <w:bCs/>
                <w:sz w:val="24"/>
                <w:szCs w:val="24"/>
                <w:lang w:val="en-US"/>
              </w:rPr>
              <w:t xml:space="preserve"> </w:t>
            </w:r>
            <w:proofErr w:type="spellStart"/>
            <w:r w:rsidR="00766F2F" w:rsidRPr="005F1FAF">
              <w:rPr>
                <w:bCs/>
                <w:sz w:val="24"/>
                <w:szCs w:val="24"/>
                <w:lang w:val="en-US"/>
              </w:rPr>
              <w:t>între</w:t>
            </w:r>
            <w:proofErr w:type="spellEnd"/>
            <w:r w:rsidR="00766F2F" w:rsidRPr="005F1FAF">
              <w:rPr>
                <w:bCs/>
                <w:sz w:val="24"/>
                <w:szCs w:val="24"/>
                <w:lang w:val="en-US"/>
              </w:rPr>
              <w:t xml:space="preserve"> A2 (km 23+600) </w:t>
            </w:r>
            <w:proofErr w:type="spellStart"/>
            <w:r w:rsidR="00766F2F" w:rsidRPr="005F1FAF">
              <w:rPr>
                <w:bCs/>
                <w:sz w:val="24"/>
                <w:szCs w:val="24"/>
                <w:lang w:val="en-US"/>
              </w:rPr>
              <w:t>şi</w:t>
            </w:r>
            <w:proofErr w:type="spellEnd"/>
            <w:r w:rsidR="00766F2F" w:rsidRPr="005F1FAF">
              <w:rPr>
                <w:bCs/>
                <w:sz w:val="24"/>
                <w:szCs w:val="24"/>
                <w:lang w:val="en-US"/>
              </w:rPr>
              <w:t xml:space="preserve"> A1 (km 55+520)</w:t>
            </w:r>
            <w:r w:rsidR="009A0A88" w:rsidRPr="005F1FAF">
              <w:rPr>
                <w:bCs/>
                <w:sz w:val="24"/>
                <w:szCs w:val="24"/>
                <w:lang w:val="en-US"/>
              </w:rPr>
              <w:t>”</w:t>
            </w:r>
            <w:r w:rsidR="008C3FCE" w:rsidRPr="005F1FAF">
              <w:rPr>
                <w:bCs/>
                <w:sz w:val="24"/>
                <w:szCs w:val="24"/>
                <w:lang w:eastAsia="ar-SA"/>
              </w:rPr>
              <w:t>,</w:t>
            </w:r>
            <w:r w:rsidR="00B07AEA" w:rsidRPr="005F1FAF">
              <w:rPr>
                <w:bCs/>
                <w:sz w:val="24"/>
                <w:szCs w:val="24"/>
                <w:lang w:eastAsia="ar-SA"/>
              </w:rPr>
              <w:t xml:space="preserve"> </w:t>
            </w:r>
            <w:r w:rsidR="008E6D76" w:rsidRPr="005F1FAF">
              <w:rPr>
                <w:sz w:val="24"/>
                <w:szCs w:val="24"/>
              </w:rPr>
              <w:t>i</w:t>
            </w:r>
            <w:r w:rsidR="00B07AEA" w:rsidRPr="005F1FAF">
              <w:rPr>
                <w:sz w:val="24"/>
                <w:szCs w:val="24"/>
              </w:rPr>
              <w:t xml:space="preserve">ndicatorii </w:t>
            </w:r>
            <w:proofErr w:type="spellStart"/>
            <w:r w:rsidR="00B07AEA" w:rsidRPr="005F1FAF">
              <w:rPr>
                <w:sz w:val="24"/>
                <w:szCs w:val="24"/>
              </w:rPr>
              <w:t>tehnico</w:t>
            </w:r>
            <w:proofErr w:type="spellEnd"/>
            <w:r w:rsidR="00B07AEA" w:rsidRPr="005F1FAF">
              <w:rPr>
                <w:sz w:val="24"/>
                <w:szCs w:val="24"/>
              </w:rPr>
              <w:t xml:space="preserve"> – economici pentru obiectivul de </w:t>
            </w:r>
            <w:proofErr w:type="spellStart"/>
            <w:r w:rsidR="00B07AEA" w:rsidRPr="005F1FAF">
              <w:rPr>
                <w:sz w:val="24"/>
                <w:szCs w:val="24"/>
              </w:rPr>
              <w:t>investiţii</w:t>
            </w:r>
            <w:proofErr w:type="spellEnd"/>
            <w:r w:rsidR="00B07AEA" w:rsidRPr="005F1FAF">
              <w:rPr>
                <w:sz w:val="24"/>
                <w:szCs w:val="24"/>
              </w:rPr>
              <w:t xml:space="preserve"> “Lărgire la 4 benzi - Centura </w:t>
            </w:r>
            <w:proofErr w:type="spellStart"/>
            <w:r w:rsidR="00B07AEA" w:rsidRPr="005F1FAF">
              <w:rPr>
                <w:sz w:val="24"/>
                <w:szCs w:val="24"/>
              </w:rPr>
              <w:t>Bucureşti</w:t>
            </w:r>
            <w:proofErr w:type="spellEnd"/>
            <w:r w:rsidR="00B07AEA" w:rsidRPr="005F1FAF">
              <w:rPr>
                <w:sz w:val="24"/>
                <w:szCs w:val="24"/>
              </w:rPr>
              <w:t xml:space="preserve"> Sud între A2 (km 23+600) </w:t>
            </w:r>
            <w:proofErr w:type="spellStart"/>
            <w:r w:rsidR="00B07AEA" w:rsidRPr="005F1FAF">
              <w:rPr>
                <w:sz w:val="24"/>
                <w:szCs w:val="24"/>
              </w:rPr>
              <w:t>şi</w:t>
            </w:r>
            <w:proofErr w:type="spellEnd"/>
            <w:r w:rsidR="00B07AEA" w:rsidRPr="005F1FAF">
              <w:rPr>
                <w:sz w:val="24"/>
                <w:szCs w:val="24"/>
              </w:rPr>
              <w:t xml:space="preserve"> A1 (km 55+520</w:t>
            </w:r>
            <w:r w:rsidR="00B07AEA" w:rsidRPr="005F1FAF">
              <w:rPr>
                <w:bCs/>
                <w:sz w:val="24"/>
                <w:szCs w:val="24"/>
                <w:lang w:val="en-US"/>
              </w:rPr>
              <w:t xml:space="preserve">)”, </w:t>
            </w:r>
            <w:r w:rsidR="00B07AEA" w:rsidRPr="005F1FAF">
              <w:rPr>
                <w:bCs/>
                <w:sz w:val="24"/>
                <w:szCs w:val="24"/>
              </w:rPr>
              <w:t>au fost aprobați prin Hotărârea Guvernului nr. 344/2008, modificată prin  Hotărârea Guvernului nr. 1242/2009 și Hotărârea Guvernului nr. 1009/2018 și nu necesită completări sau modificări la data prezentei.</w:t>
            </w:r>
          </w:p>
          <w:p w:rsidR="00B07AEA" w:rsidRPr="005F1FAF" w:rsidRDefault="00B07AEA" w:rsidP="00B0425D">
            <w:pPr>
              <w:autoSpaceDE w:val="0"/>
              <w:autoSpaceDN w:val="0"/>
              <w:adjustRightInd w:val="0"/>
              <w:jc w:val="both"/>
              <w:rPr>
                <w:bCs/>
                <w:sz w:val="24"/>
                <w:szCs w:val="24"/>
                <w:lang w:val="en-US" w:eastAsia="ar-SA"/>
              </w:rPr>
            </w:pPr>
            <w:r w:rsidRPr="005F1FAF">
              <w:rPr>
                <w:bCs/>
                <w:sz w:val="24"/>
                <w:szCs w:val="24"/>
                <w:lang w:eastAsia="ar-SA"/>
              </w:rPr>
              <w:t>Procedurile de expropriere pentru obiectivul de investiții „L</w:t>
            </w:r>
            <w:proofErr w:type="spellStart"/>
            <w:r w:rsidRPr="005F1FAF">
              <w:rPr>
                <w:bCs/>
                <w:sz w:val="24"/>
                <w:szCs w:val="24"/>
                <w:lang w:val="en-US"/>
              </w:rPr>
              <w:t>ărgire</w:t>
            </w:r>
            <w:proofErr w:type="spellEnd"/>
            <w:r w:rsidRPr="005F1FAF">
              <w:rPr>
                <w:bCs/>
                <w:sz w:val="24"/>
                <w:szCs w:val="24"/>
                <w:lang w:val="en-US"/>
              </w:rPr>
              <w:t xml:space="preserve"> la 4 </w:t>
            </w:r>
            <w:proofErr w:type="spellStart"/>
            <w:r w:rsidRPr="005F1FAF">
              <w:rPr>
                <w:bCs/>
                <w:sz w:val="24"/>
                <w:szCs w:val="24"/>
                <w:lang w:val="en-US"/>
              </w:rPr>
              <w:t>benzi</w:t>
            </w:r>
            <w:proofErr w:type="spellEnd"/>
            <w:r w:rsidRPr="005F1FAF">
              <w:rPr>
                <w:bCs/>
                <w:sz w:val="24"/>
                <w:szCs w:val="24"/>
                <w:lang w:val="en-US"/>
              </w:rPr>
              <w:t xml:space="preserve"> - </w:t>
            </w:r>
            <w:proofErr w:type="spellStart"/>
            <w:r w:rsidRPr="005F1FAF">
              <w:rPr>
                <w:bCs/>
                <w:sz w:val="24"/>
                <w:szCs w:val="24"/>
                <w:lang w:val="en-US"/>
              </w:rPr>
              <w:t>Centura</w:t>
            </w:r>
            <w:proofErr w:type="spellEnd"/>
            <w:r w:rsidRPr="005F1FAF">
              <w:rPr>
                <w:bCs/>
                <w:sz w:val="24"/>
                <w:szCs w:val="24"/>
                <w:lang w:val="en-US"/>
              </w:rPr>
              <w:t xml:space="preserve"> </w:t>
            </w:r>
            <w:proofErr w:type="spellStart"/>
            <w:r w:rsidRPr="005F1FAF">
              <w:rPr>
                <w:bCs/>
                <w:sz w:val="24"/>
                <w:szCs w:val="24"/>
                <w:lang w:val="en-US"/>
              </w:rPr>
              <w:t>Bucureşti</w:t>
            </w:r>
            <w:proofErr w:type="spellEnd"/>
            <w:r w:rsidRPr="005F1FAF">
              <w:rPr>
                <w:bCs/>
                <w:sz w:val="24"/>
                <w:szCs w:val="24"/>
                <w:lang w:val="en-US"/>
              </w:rPr>
              <w:t xml:space="preserve"> </w:t>
            </w:r>
            <w:proofErr w:type="spellStart"/>
            <w:r w:rsidRPr="005F1FAF">
              <w:rPr>
                <w:bCs/>
                <w:sz w:val="24"/>
                <w:szCs w:val="24"/>
                <w:lang w:val="en-US"/>
              </w:rPr>
              <w:t>Sud</w:t>
            </w:r>
            <w:proofErr w:type="spellEnd"/>
            <w:r w:rsidRPr="005F1FAF">
              <w:rPr>
                <w:bCs/>
                <w:sz w:val="24"/>
                <w:szCs w:val="24"/>
                <w:lang w:val="en-US"/>
              </w:rPr>
              <w:t xml:space="preserve"> </w:t>
            </w:r>
            <w:proofErr w:type="spellStart"/>
            <w:r w:rsidRPr="005F1FAF">
              <w:rPr>
                <w:bCs/>
                <w:sz w:val="24"/>
                <w:szCs w:val="24"/>
                <w:lang w:val="en-US"/>
              </w:rPr>
              <w:t>între</w:t>
            </w:r>
            <w:proofErr w:type="spellEnd"/>
            <w:r w:rsidRPr="005F1FAF">
              <w:rPr>
                <w:bCs/>
                <w:sz w:val="24"/>
                <w:szCs w:val="24"/>
                <w:lang w:val="en-US"/>
              </w:rPr>
              <w:t xml:space="preserve"> A2 (km 23+600) </w:t>
            </w:r>
            <w:proofErr w:type="spellStart"/>
            <w:r w:rsidRPr="005F1FAF">
              <w:rPr>
                <w:bCs/>
                <w:sz w:val="24"/>
                <w:szCs w:val="24"/>
                <w:lang w:val="en-US"/>
              </w:rPr>
              <w:t>şi</w:t>
            </w:r>
            <w:proofErr w:type="spellEnd"/>
            <w:r w:rsidRPr="005F1FAF">
              <w:rPr>
                <w:bCs/>
                <w:sz w:val="24"/>
                <w:szCs w:val="24"/>
                <w:lang w:val="en-US"/>
              </w:rPr>
              <w:t xml:space="preserve"> A1 (km 55+520)”</w:t>
            </w:r>
            <w:r w:rsidRPr="005F1FAF">
              <w:rPr>
                <w:b/>
                <w:bCs/>
                <w:sz w:val="24"/>
                <w:szCs w:val="24"/>
                <w:lang w:eastAsia="ar-SA"/>
              </w:rPr>
              <w:t xml:space="preserve"> </w:t>
            </w:r>
            <w:r w:rsidRPr="005F1FAF">
              <w:rPr>
                <w:bCs/>
                <w:sz w:val="24"/>
                <w:szCs w:val="24"/>
                <w:lang w:eastAsia="ar-SA"/>
              </w:rPr>
              <w:t xml:space="preserve">au fost declanșate în conformitate cu prevederile Legii 198/2004 </w:t>
            </w:r>
            <w:proofErr w:type="spellStart"/>
            <w:r w:rsidRPr="005F1FAF">
              <w:rPr>
                <w:bCs/>
                <w:sz w:val="24"/>
                <w:szCs w:val="24"/>
                <w:lang w:val="en-US" w:eastAsia="ar-SA"/>
              </w:rPr>
              <w:t>privind</w:t>
            </w:r>
            <w:proofErr w:type="spellEnd"/>
            <w:r w:rsidRPr="005F1FAF">
              <w:rPr>
                <w:bCs/>
                <w:sz w:val="24"/>
                <w:szCs w:val="24"/>
                <w:lang w:val="en-US" w:eastAsia="ar-SA"/>
              </w:rPr>
              <w:t xml:space="preserve"> </w:t>
            </w:r>
            <w:proofErr w:type="spellStart"/>
            <w:r w:rsidRPr="005F1FAF">
              <w:rPr>
                <w:bCs/>
                <w:sz w:val="24"/>
                <w:szCs w:val="24"/>
                <w:lang w:val="en-US" w:eastAsia="ar-SA"/>
              </w:rPr>
              <w:t>unele</w:t>
            </w:r>
            <w:proofErr w:type="spellEnd"/>
            <w:r w:rsidRPr="005F1FAF">
              <w:rPr>
                <w:bCs/>
                <w:sz w:val="24"/>
                <w:szCs w:val="24"/>
                <w:lang w:val="en-US" w:eastAsia="ar-SA"/>
              </w:rPr>
              <w:t xml:space="preserve"> </w:t>
            </w:r>
            <w:proofErr w:type="spellStart"/>
            <w:r w:rsidRPr="005F1FAF">
              <w:rPr>
                <w:bCs/>
                <w:sz w:val="24"/>
                <w:szCs w:val="24"/>
                <w:lang w:val="en-US" w:eastAsia="ar-SA"/>
              </w:rPr>
              <w:t>măsuri</w:t>
            </w:r>
            <w:proofErr w:type="spellEnd"/>
            <w:r w:rsidRPr="005F1FAF">
              <w:rPr>
                <w:bCs/>
                <w:sz w:val="24"/>
                <w:szCs w:val="24"/>
                <w:lang w:val="en-US" w:eastAsia="ar-SA"/>
              </w:rPr>
              <w:t xml:space="preserve"> </w:t>
            </w:r>
            <w:proofErr w:type="spellStart"/>
            <w:r w:rsidRPr="005F1FAF">
              <w:rPr>
                <w:bCs/>
                <w:sz w:val="24"/>
                <w:szCs w:val="24"/>
                <w:lang w:val="en-US" w:eastAsia="ar-SA"/>
              </w:rPr>
              <w:t>prealabile</w:t>
            </w:r>
            <w:proofErr w:type="spellEnd"/>
            <w:r w:rsidRPr="005F1FAF">
              <w:rPr>
                <w:bCs/>
                <w:sz w:val="24"/>
                <w:szCs w:val="24"/>
                <w:lang w:val="en-US" w:eastAsia="ar-SA"/>
              </w:rPr>
              <w:t xml:space="preserve"> </w:t>
            </w:r>
            <w:proofErr w:type="spellStart"/>
            <w:r w:rsidRPr="005F1FAF">
              <w:rPr>
                <w:bCs/>
                <w:sz w:val="24"/>
                <w:szCs w:val="24"/>
                <w:lang w:val="en-US" w:eastAsia="ar-SA"/>
              </w:rPr>
              <w:t>lucrărilor</w:t>
            </w:r>
            <w:proofErr w:type="spellEnd"/>
            <w:r w:rsidRPr="005F1FAF">
              <w:rPr>
                <w:bCs/>
                <w:sz w:val="24"/>
                <w:szCs w:val="24"/>
                <w:lang w:val="en-US" w:eastAsia="ar-SA"/>
              </w:rPr>
              <w:t xml:space="preserve"> de </w:t>
            </w:r>
            <w:proofErr w:type="spellStart"/>
            <w:r w:rsidRPr="005F1FAF">
              <w:rPr>
                <w:bCs/>
                <w:sz w:val="24"/>
                <w:szCs w:val="24"/>
                <w:lang w:val="en-US" w:eastAsia="ar-SA"/>
              </w:rPr>
              <w:t>construcţie</w:t>
            </w:r>
            <w:proofErr w:type="spellEnd"/>
            <w:r w:rsidRPr="005F1FAF">
              <w:rPr>
                <w:bCs/>
                <w:sz w:val="24"/>
                <w:szCs w:val="24"/>
                <w:lang w:val="en-US" w:eastAsia="ar-SA"/>
              </w:rPr>
              <w:t xml:space="preserve"> de </w:t>
            </w:r>
            <w:proofErr w:type="spellStart"/>
            <w:r w:rsidRPr="005F1FAF">
              <w:rPr>
                <w:bCs/>
                <w:sz w:val="24"/>
                <w:szCs w:val="24"/>
                <w:lang w:val="en-US" w:eastAsia="ar-SA"/>
              </w:rPr>
              <w:t>autostrăzi</w:t>
            </w:r>
            <w:proofErr w:type="spellEnd"/>
            <w:r w:rsidRPr="005F1FAF">
              <w:rPr>
                <w:bCs/>
                <w:sz w:val="24"/>
                <w:szCs w:val="24"/>
                <w:lang w:val="en-US" w:eastAsia="ar-SA"/>
              </w:rPr>
              <w:t xml:space="preserve"> </w:t>
            </w:r>
            <w:proofErr w:type="spellStart"/>
            <w:r w:rsidRPr="005F1FAF">
              <w:rPr>
                <w:bCs/>
                <w:sz w:val="24"/>
                <w:szCs w:val="24"/>
                <w:lang w:val="en-US" w:eastAsia="ar-SA"/>
              </w:rPr>
              <w:t>şi</w:t>
            </w:r>
            <w:proofErr w:type="spellEnd"/>
            <w:r w:rsidRPr="005F1FAF">
              <w:rPr>
                <w:bCs/>
                <w:sz w:val="24"/>
                <w:szCs w:val="24"/>
                <w:lang w:val="en-US" w:eastAsia="ar-SA"/>
              </w:rPr>
              <w:t xml:space="preserve"> </w:t>
            </w:r>
            <w:proofErr w:type="spellStart"/>
            <w:r w:rsidRPr="005F1FAF">
              <w:rPr>
                <w:bCs/>
                <w:sz w:val="24"/>
                <w:szCs w:val="24"/>
                <w:lang w:val="en-US" w:eastAsia="ar-SA"/>
              </w:rPr>
              <w:t>drumuri</w:t>
            </w:r>
            <w:proofErr w:type="spellEnd"/>
            <w:r w:rsidRPr="005F1FAF">
              <w:rPr>
                <w:bCs/>
                <w:sz w:val="24"/>
                <w:szCs w:val="24"/>
                <w:lang w:val="en-US" w:eastAsia="ar-SA"/>
              </w:rPr>
              <w:t xml:space="preserve"> </w:t>
            </w:r>
            <w:proofErr w:type="spellStart"/>
            <w:r w:rsidRPr="005F1FAF">
              <w:rPr>
                <w:bCs/>
                <w:sz w:val="24"/>
                <w:szCs w:val="24"/>
                <w:lang w:val="en-US" w:eastAsia="ar-SA"/>
              </w:rPr>
              <w:t>naţionale</w:t>
            </w:r>
            <w:proofErr w:type="spellEnd"/>
            <w:r w:rsidRPr="005F1FAF">
              <w:rPr>
                <w:bCs/>
                <w:sz w:val="24"/>
                <w:szCs w:val="24"/>
                <w:lang w:val="en-US" w:eastAsia="ar-SA"/>
              </w:rPr>
              <w:t>.</w:t>
            </w:r>
          </w:p>
          <w:p w:rsidR="00B07AEA" w:rsidRPr="005F1FAF" w:rsidRDefault="00B07AEA" w:rsidP="00B0425D">
            <w:pPr>
              <w:autoSpaceDE w:val="0"/>
              <w:autoSpaceDN w:val="0"/>
              <w:adjustRightInd w:val="0"/>
              <w:jc w:val="both"/>
              <w:rPr>
                <w:bCs/>
                <w:sz w:val="24"/>
                <w:szCs w:val="24"/>
                <w:lang w:eastAsia="ar-SA"/>
              </w:rPr>
            </w:pPr>
            <w:r w:rsidRPr="005F1FAF">
              <w:rPr>
                <w:bCs/>
                <w:sz w:val="24"/>
                <w:szCs w:val="24"/>
                <w:lang w:eastAsia="ar-SA"/>
              </w:rPr>
              <w:t>Pentru realizarea obiectivului de investiții „L</w:t>
            </w:r>
            <w:proofErr w:type="spellStart"/>
            <w:r w:rsidRPr="005F1FAF">
              <w:rPr>
                <w:bCs/>
                <w:sz w:val="24"/>
                <w:szCs w:val="24"/>
                <w:lang w:val="en-US"/>
              </w:rPr>
              <w:t>ărgire</w:t>
            </w:r>
            <w:proofErr w:type="spellEnd"/>
            <w:r w:rsidRPr="005F1FAF">
              <w:rPr>
                <w:bCs/>
                <w:sz w:val="24"/>
                <w:szCs w:val="24"/>
                <w:lang w:val="en-US"/>
              </w:rPr>
              <w:t xml:space="preserve"> la 4 </w:t>
            </w:r>
            <w:proofErr w:type="spellStart"/>
            <w:r w:rsidRPr="005F1FAF">
              <w:rPr>
                <w:bCs/>
                <w:sz w:val="24"/>
                <w:szCs w:val="24"/>
                <w:lang w:val="en-US"/>
              </w:rPr>
              <w:t>benzi</w:t>
            </w:r>
            <w:proofErr w:type="spellEnd"/>
            <w:r w:rsidRPr="005F1FAF">
              <w:rPr>
                <w:bCs/>
                <w:sz w:val="24"/>
                <w:szCs w:val="24"/>
                <w:lang w:val="en-US"/>
              </w:rPr>
              <w:t xml:space="preserve"> - </w:t>
            </w:r>
            <w:proofErr w:type="spellStart"/>
            <w:r w:rsidRPr="005F1FAF">
              <w:rPr>
                <w:bCs/>
                <w:sz w:val="24"/>
                <w:szCs w:val="24"/>
                <w:lang w:val="en-US"/>
              </w:rPr>
              <w:t>Centura</w:t>
            </w:r>
            <w:proofErr w:type="spellEnd"/>
            <w:r w:rsidRPr="005F1FAF">
              <w:rPr>
                <w:bCs/>
                <w:sz w:val="24"/>
                <w:szCs w:val="24"/>
                <w:lang w:val="en-US"/>
              </w:rPr>
              <w:t xml:space="preserve"> </w:t>
            </w:r>
            <w:proofErr w:type="spellStart"/>
            <w:r w:rsidRPr="005F1FAF">
              <w:rPr>
                <w:bCs/>
                <w:sz w:val="24"/>
                <w:szCs w:val="24"/>
                <w:lang w:val="en-US"/>
              </w:rPr>
              <w:t>Bucureşti</w:t>
            </w:r>
            <w:proofErr w:type="spellEnd"/>
            <w:r w:rsidRPr="005F1FAF">
              <w:rPr>
                <w:bCs/>
                <w:sz w:val="24"/>
                <w:szCs w:val="24"/>
                <w:lang w:val="en-US"/>
              </w:rPr>
              <w:t xml:space="preserve"> </w:t>
            </w:r>
            <w:proofErr w:type="spellStart"/>
            <w:r w:rsidRPr="005F1FAF">
              <w:rPr>
                <w:bCs/>
                <w:sz w:val="24"/>
                <w:szCs w:val="24"/>
                <w:lang w:val="en-US"/>
              </w:rPr>
              <w:t>Sud</w:t>
            </w:r>
            <w:proofErr w:type="spellEnd"/>
            <w:r w:rsidRPr="005F1FAF">
              <w:rPr>
                <w:bCs/>
                <w:sz w:val="24"/>
                <w:szCs w:val="24"/>
                <w:lang w:val="en-US"/>
              </w:rPr>
              <w:t xml:space="preserve"> </w:t>
            </w:r>
            <w:proofErr w:type="spellStart"/>
            <w:r w:rsidRPr="005F1FAF">
              <w:rPr>
                <w:bCs/>
                <w:sz w:val="24"/>
                <w:szCs w:val="24"/>
                <w:lang w:val="en-US"/>
              </w:rPr>
              <w:t>între</w:t>
            </w:r>
            <w:proofErr w:type="spellEnd"/>
            <w:r w:rsidRPr="005F1FAF">
              <w:rPr>
                <w:bCs/>
                <w:sz w:val="24"/>
                <w:szCs w:val="24"/>
                <w:lang w:val="en-US"/>
              </w:rPr>
              <w:t xml:space="preserve"> A2 (km 23+600) </w:t>
            </w:r>
            <w:proofErr w:type="spellStart"/>
            <w:r w:rsidRPr="005F1FAF">
              <w:rPr>
                <w:bCs/>
                <w:sz w:val="24"/>
                <w:szCs w:val="24"/>
                <w:lang w:val="en-US"/>
              </w:rPr>
              <w:t>şi</w:t>
            </w:r>
            <w:proofErr w:type="spellEnd"/>
            <w:r w:rsidRPr="005F1FAF">
              <w:rPr>
                <w:bCs/>
                <w:sz w:val="24"/>
                <w:szCs w:val="24"/>
                <w:lang w:val="en-US"/>
              </w:rPr>
              <w:t xml:space="preserve"> A1 (km 55+520)”</w:t>
            </w:r>
            <w:r w:rsidRPr="005F1FAF">
              <w:rPr>
                <w:bCs/>
                <w:sz w:val="24"/>
                <w:szCs w:val="24"/>
                <w:lang w:eastAsia="ar-SA"/>
              </w:rPr>
              <w:t xml:space="preserve"> au fost aprobate o serie de Hotărâri ale Guvernului care privesc aprobarea procedurii de expropriere, după cum urmează:</w:t>
            </w:r>
          </w:p>
          <w:p w:rsidR="00B07AEA" w:rsidRPr="005F1FAF" w:rsidRDefault="00B07AEA" w:rsidP="00B0425D">
            <w:pPr>
              <w:autoSpaceDE w:val="0"/>
              <w:autoSpaceDN w:val="0"/>
              <w:adjustRightInd w:val="0"/>
              <w:jc w:val="both"/>
              <w:rPr>
                <w:bCs/>
                <w:sz w:val="16"/>
                <w:szCs w:val="16"/>
                <w:lang w:eastAsia="ar-SA"/>
              </w:rPr>
            </w:pPr>
          </w:p>
          <w:p w:rsidR="00B07AEA" w:rsidRPr="005F1FAF" w:rsidRDefault="00B07AEA" w:rsidP="00B0425D">
            <w:pPr>
              <w:pStyle w:val="ListParagraph"/>
              <w:numPr>
                <w:ilvl w:val="0"/>
                <w:numId w:val="13"/>
              </w:numPr>
              <w:autoSpaceDE w:val="0"/>
              <w:autoSpaceDN w:val="0"/>
              <w:adjustRightInd w:val="0"/>
              <w:ind w:left="0" w:firstLine="0"/>
              <w:jc w:val="both"/>
              <w:rPr>
                <w:bCs/>
                <w:lang w:eastAsia="ar-SA"/>
              </w:rPr>
            </w:pPr>
            <w:r w:rsidRPr="005F1FAF">
              <w:rPr>
                <w:bCs/>
                <w:lang w:val="ro-RO" w:eastAsia="ar-SA"/>
              </w:rPr>
              <w:t xml:space="preserve">Hotărârea Guvernului nr. 499/2010 privind </w:t>
            </w:r>
            <w:proofErr w:type="spellStart"/>
            <w:r w:rsidRPr="005F1FAF">
              <w:rPr>
                <w:bCs/>
                <w:lang w:val="ro-RO" w:eastAsia="ar-SA"/>
              </w:rPr>
              <w:t>declanşarea</w:t>
            </w:r>
            <w:proofErr w:type="spellEnd"/>
            <w:r w:rsidRPr="005F1FAF">
              <w:rPr>
                <w:bCs/>
                <w:lang w:val="ro-RO" w:eastAsia="ar-SA"/>
              </w:rPr>
              <w:t xml:space="preserve"> procedurilor de expropriere a imobilelor proprietate privată situate pe amplasamentul lucrării de utilitate publică "Lărgire la 4 benzi - Centura </w:t>
            </w:r>
            <w:proofErr w:type="spellStart"/>
            <w:r w:rsidRPr="005F1FAF">
              <w:rPr>
                <w:bCs/>
                <w:lang w:val="ro-RO" w:eastAsia="ar-SA"/>
              </w:rPr>
              <w:t>Bucureşti</w:t>
            </w:r>
            <w:proofErr w:type="spellEnd"/>
            <w:r w:rsidRPr="005F1FAF">
              <w:rPr>
                <w:bCs/>
                <w:lang w:val="ro-RO" w:eastAsia="ar-SA"/>
              </w:rPr>
              <w:t xml:space="preserve"> Sud între A2 (km 23 + 600) </w:t>
            </w:r>
            <w:proofErr w:type="spellStart"/>
            <w:r w:rsidRPr="005F1FAF">
              <w:rPr>
                <w:bCs/>
                <w:lang w:val="ro-RO" w:eastAsia="ar-SA"/>
              </w:rPr>
              <w:t>şi</w:t>
            </w:r>
            <w:proofErr w:type="spellEnd"/>
            <w:r w:rsidRPr="005F1FAF">
              <w:rPr>
                <w:bCs/>
                <w:lang w:val="ro-RO" w:eastAsia="ar-SA"/>
              </w:rPr>
              <w:t xml:space="preserve"> A1 (km 55 + 520)";</w:t>
            </w:r>
          </w:p>
          <w:p w:rsidR="00B07AEA" w:rsidRPr="005F1FAF" w:rsidRDefault="00B07AEA" w:rsidP="00B0425D">
            <w:pPr>
              <w:pStyle w:val="ListParagraph"/>
              <w:numPr>
                <w:ilvl w:val="0"/>
                <w:numId w:val="13"/>
              </w:numPr>
              <w:autoSpaceDE w:val="0"/>
              <w:autoSpaceDN w:val="0"/>
              <w:adjustRightInd w:val="0"/>
              <w:ind w:left="0" w:firstLine="0"/>
              <w:jc w:val="both"/>
              <w:rPr>
                <w:bCs/>
                <w:sz w:val="22"/>
                <w:lang w:eastAsia="ar-SA"/>
              </w:rPr>
            </w:pPr>
            <w:proofErr w:type="spellStart"/>
            <w:r w:rsidRPr="005F1FAF">
              <w:rPr>
                <w:rStyle w:val="do1"/>
                <w:b w:val="0"/>
                <w:sz w:val="24"/>
              </w:rPr>
              <w:t>Hotărârea</w:t>
            </w:r>
            <w:proofErr w:type="spellEnd"/>
            <w:r w:rsidRPr="005F1FAF">
              <w:rPr>
                <w:rStyle w:val="do1"/>
                <w:b w:val="0"/>
                <w:sz w:val="24"/>
              </w:rPr>
              <w:t xml:space="preserve"> </w:t>
            </w:r>
            <w:proofErr w:type="spellStart"/>
            <w:r w:rsidRPr="005F1FAF">
              <w:rPr>
                <w:rStyle w:val="do1"/>
                <w:b w:val="0"/>
                <w:sz w:val="24"/>
              </w:rPr>
              <w:t>Guvernului</w:t>
            </w:r>
            <w:proofErr w:type="spellEnd"/>
            <w:r w:rsidRPr="005F1FAF">
              <w:rPr>
                <w:rStyle w:val="do1"/>
                <w:b w:val="0"/>
                <w:sz w:val="24"/>
              </w:rPr>
              <w:t xml:space="preserve"> </w:t>
            </w:r>
            <w:proofErr w:type="spellStart"/>
            <w:r w:rsidRPr="005F1FAF">
              <w:rPr>
                <w:rStyle w:val="do1"/>
                <w:b w:val="0"/>
                <w:sz w:val="24"/>
              </w:rPr>
              <w:t>nr</w:t>
            </w:r>
            <w:proofErr w:type="spellEnd"/>
            <w:r w:rsidRPr="005F1FAF">
              <w:rPr>
                <w:rStyle w:val="do1"/>
                <w:b w:val="0"/>
                <w:sz w:val="24"/>
              </w:rPr>
              <w:t xml:space="preserve">. </w:t>
            </w:r>
            <w:proofErr w:type="gramStart"/>
            <w:r w:rsidRPr="005F1FAF">
              <w:rPr>
                <w:rStyle w:val="do1"/>
                <w:b w:val="0"/>
                <w:sz w:val="24"/>
              </w:rPr>
              <w:t>177/2020</w:t>
            </w:r>
            <w:proofErr w:type="gramEnd"/>
            <w:r w:rsidRPr="005F1FAF">
              <w:rPr>
                <w:rStyle w:val="do1"/>
                <w:b w:val="0"/>
                <w:sz w:val="24"/>
              </w:rPr>
              <w:t xml:space="preserve"> </w:t>
            </w:r>
            <w:proofErr w:type="spellStart"/>
            <w:r w:rsidRPr="005F1FAF">
              <w:rPr>
                <w:rStyle w:val="do1"/>
                <w:b w:val="0"/>
                <w:sz w:val="24"/>
              </w:rPr>
              <w:t>pentru</w:t>
            </w:r>
            <w:proofErr w:type="spellEnd"/>
            <w:r w:rsidRPr="005F1FAF">
              <w:rPr>
                <w:rStyle w:val="do1"/>
                <w:b w:val="0"/>
                <w:sz w:val="24"/>
              </w:rPr>
              <w:t xml:space="preserve"> </w:t>
            </w:r>
            <w:proofErr w:type="spellStart"/>
            <w:r w:rsidRPr="005F1FAF">
              <w:rPr>
                <w:rStyle w:val="do1"/>
                <w:b w:val="0"/>
                <w:sz w:val="24"/>
              </w:rPr>
              <w:t>modificarea</w:t>
            </w:r>
            <w:proofErr w:type="spellEnd"/>
            <w:r w:rsidRPr="005F1FAF">
              <w:rPr>
                <w:rStyle w:val="do1"/>
                <w:b w:val="0"/>
                <w:sz w:val="24"/>
              </w:rPr>
              <w:t xml:space="preserve"> </w:t>
            </w:r>
            <w:proofErr w:type="spellStart"/>
            <w:r w:rsidRPr="005F1FAF">
              <w:rPr>
                <w:rStyle w:val="do1"/>
                <w:b w:val="0"/>
                <w:sz w:val="24"/>
              </w:rPr>
              <w:t>şi</w:t>
            </w:r>
            <w:proofErr w:type="spellEnd"/>
            <w:r w:rsidRPr="005F1FAF">
              <w:rPr>
                <w:rStyle w:val="do1"/>
                <w:b w:val="0"/>
                <w:sz w:val="24"/>
              </w:rPr>
              <w:t xml:space="preserve"> </w:t>
            </w:r>
            <w:proofErr w:type="spellStart"/>
            <w:r w:rsidRPr="005F1FAF">
              <w:rPr>
                <w:rStyle w:val="do1"/>
                <w:b w:val="0"/>
                <w:sz w:val="24"/>
              </w:rPr>
              <w:t>completarea</w:t>
            </w:r>
            <w:proofErr w:type="spellEnd"/>
            <w:r w:rsidRPr="005F1FAF">
              <w:rPr>
                <w:rStyle w:val="do1"/>
                <w:b w:val="0"/>
                <w:sz w:val="24"/>
              </w:rPr>
              <w:t xml:space="preserve"> </w:t>
            </w:r>
            <w:proofErr w:type="spellStart"/>
            <w:r w:rsidRPr="005F1FAF">
              <w:rPr>
                <w:rStyle w:val="do1"/>
                <w:b w:val="0"/>
                <w:sz w:val="24"/>
              </w:rPr>
              <w:t>Hotărârii</w:t>
            </w:r>
            <w:proofErr w:type="spellEnd"/>
            <w:r w:rsidRPr="005F1FAF">
              <w:rPr>
                <w:rStyle w:val="do1"/>
                <w:b w:val="0"/>
                <w:sz w:val="24"/>
              </w:rPr>
              <w:t xml:space="preserve"> </w:t>
            </w:r>
            <w:proofErr w:type="spellStart"/>
            <w:r w:rsidRPr="005F1FAF">
              <w:rPr>
                <w:rStyle w:val="do1"/>
                <w:b w:val="0"/>
                <w:sz w:val="24"/>
              </w:rPr>
              <w:t>Guvernului</w:t>
            </w:r>
            <w:proofErr w:type="spellEnd"/>
            <w:r w:rsidRPr="005F1FAF">
              <w:rPr>
                <w:rStyle w:val="do1"/>
                <w:b w:val="0"/>
                <w:sz w:val="24"/>
              </w:rPr>
              <w:t xml:space="preserve"> </w:t>
            </w:r>
            <w:proofErr w:type="spellStart"/>
            <w:r w:rsidRPr="005F1FAF">
              <w:rPr>
                <w:rStyle w:val="do1"/>
                <w:b w:val="0"/>
                <w:sz w:val="24"/>
              </w:rPr>
              <w:t>nr</w:t>
            </w:r>
            <w:proofErr w:type="spellEnd"/>
            <w:r w:rsidRPr="005F1FAF">
              <w:rPr>
                <w:rStyle w:val="do1"/>
                <w:b w:val="0"/>
                <w:sz w:val="24"/>
              </w:rPr>
              <w:t xml:space="preserve">. </w:t>
            </w:r>
            <w:hyperlink r:id="rId9" w:history="1">
              <w:r w:rsidRPr="005F1FAF">
                <w:rPr>
                  <w:rStyle w:val="Hyperlink"/>
                  <w:color w:val="auto"/>
                  <w:szCs w:val="26"/>
                  <w:u w:val="none"/>
                </w:rPr>
                <w:t>499/2010</w:t>
              </w:r>
            </w:hyperlink>
            <w:r w:rsidRPr="005F1FAF">
              <w:rPr>
                <w:rStyle w:val="do1"/>
                <w:b w:val="0"/>
                <w:sz w:val="24"/>
              </w:rPr>
              <w:t xml:space="preserve"> </w:t>
            </w:r>
            <w:proofErr w:type="spellStart"/>
            <w:r w:rsidRPr="005F1FAF">
              <w:rPr>
                <w:rStyle w:val="do1"/>
                <w:b w:val="0"/>
                <w:sz w:val="24"/>
              </w:rPr>
              <w:t>privind</w:t>
            </w:r>
            <w:proofErr w:type="spellEnd"/>
            <w:r w:rsidRPr="005F1FAF">
              <w:rPr>
                <w:rStyle w:val="do1"/>
                <w:b w:val="0"/>
                <w:sz w:val="24"/>
              </w:rPr>
              <w:t xml:space="preserve"> </w:t>
            </w:r>
            <w:proofErr w:type="spellStart"/>
            <w:r w:rsidRPr="005F1FAF">
              <w:rPr>
                <w:rStyle w:val="do1"/>
                <w:b w:val="0"/>
                <w:sz w:val="24"/>
              </w:rPr>
              <w:t>declanşarea</w:t>
            </w:r>
            <w:proofErr w:type="spellEnd"/>
            <w:r w:rsidRPr="005F1FAF">
              <w:rPr>
                <w:rStyle w:val="do1"/>
                <w:b w:val="0"/>
                <w:sz w:val="24"/>
              </w:rPr>
              <w:t xml:space="preserve"> </w:t>
            </w:r>
            <w:proofErr w:type="spellStart"/>
            <w:r w:rsidRPr="005F1FAF">
              <w:rPr>
                <w:rStyle w:val="do1"/>
                <w:b w:val="0"/>
                <w:sz w:val="24"/>
              </w:rPr>
              <w:t>procedurilor</w:t>
            </w:r>
            <w:proofErr w:type="spellEnd"/>
            <w:r w:rsidRPr="005F1FAF">
              <w:rPr>
                <w:rStyle w:val="do1"/>
                <w:b w:val="0"/>
                <w:sz w:val="24"/>
              </w:rPr>
              <w:t xml:space="preserve"> de </w:t>
            </w:r>
            <w:proofErr w:type="spellStart"/>
            <w:r w:rsidRPr="005F1FAF">
              <w:rPr>
                <w:rStyle w:val="do1"/>
                <w:b w:val="0"/>
                <w:sz w:val="24"/>
              </w:rPr>
              <w:t>expropriere</w:t>
            </w:r>
            <w:proofErr w:type="spellEnd"/>
            <w:r w:rsidRPr="005F1FAF">
              <w:rPr>
                <w:rStyle w:val="do1"/>
                <w:b w:val="0"/>
                <w:sz w:val="24"/>
              </w:rPr>
              <w:t xml:space="preserve"> a </w:t>
            </w:r>
            <w:proofErr w:type="spellStart"/>
            <w:r w:rsidRPr="005F1FAF">
              <w:rPr>
                <w:rStyle w:val="do1"/>
                <w:b w:val="0"/>
                <w:sz w:val="24"/>
              </w:rPr>
              <w:t>imobilelor</w:t>
            </w:r>
            <w:proofErr w:type="spellEnd"/>
            <w:r w:rsidRPr="005F1FAF">
              <w:rPr>
                <w:rStyle w:val="do1"/>
                <w:b w:val="0"/>
                <w:sz w:val="24"/>
              </w:rPr>
              <w:t xml:space="preserve"> </w:t>
            </w:r>
            <w:proofErr w:type="spellStart"/>
            <w:r w:rsidRPr="005F1FAF">
              <w:rPr>
                <w:rStyle w:val="do1"/>
                <w:b w:val="0"/>
                <w:sz w:val="24"/>
              </w:rPr>
              <w:t>proprietate</w:t>
            </w:r>
            <w:proofErr w:type="spellEnd"/>
            <w:r w:rsidRPr="005F1FAF">
              <w:rPr>
                <w:rStyle w:val="do1"/>
                <w:b w:val="0"/>
                <w:sz w:val="24"/>
              </w:rPr>
              <w:t xml:space="preserve"> </w:t>
            </w:r>
            <w:proofErr w:type="spellStart"/>
            <w:r w:rsidRPr="005F1FAF">
              <w:rPr>
                <w:rStyle w:val="do1"/>
                <w:b w:val="0"/>
                <w:sz w:val="24"/>
              </w:rPr>
              <w:t>privată</w:t>
            </w:r>
            <w:proofErr w:type="spellEnd"/>
            <w:r w:rsidRPr="005F1FAF">
              <w:rPr>
                <w:rStyle w:val="do1"/>
                <w:b w:val="0"/>
                <w:sz w:val="24"/>
              </w:rPr>
              <w:t xml:space="preserve"> situate </w:t>
            </w:r>
            <w:proofErr w:type="spellStart"/>
            <w:r w:rsidRPr="005F1FAF">
              <w:rPr>
                <w:rStyle w:val="do1"/>
                <w:b w:val="0"/>
                <w:sz w:val="24"/>
              </w:rPr>
              <w:t>pe</w:t>
            </w:r>
            <w:proofErr w:type="spellEnd"/>
            <w:r w:rsidRPr="005F1FAF">
              <w:rPr>
                <w:rStyle w:val="do1"/>
                <w:b w:val="0"/>
                <w:sz w:val="24"/>
              </w:rPr>
              <w:t xml:space="preserve"> </w:t>
            </w:r>
            <w:proofErr w:type="spellStart"/>
            <w:r w:rsidRPr="005F1FAF">
              <w:rPr>
                <w:rStyle w:val="do1"/>
                <w:b w:val="0"/>
                <w:sz w:val="24"/>
              </w:rPr>
              <w:t>amplasamentul</w:t>
            </w:r>
            <w:proofErr w:type="spellEnd"/>
            <w:r w:rsidRPr="005F1FAF">
              <w:rPr>
                <w:rStyle w:val="do1"/>
                <w:b w:val="0"/>
                <w:sz w:val="24"/>
              </w:rPr>
              <w:t xml:space="preserve"> </w:t>
            </w:r>
            <w:proofErr w:type="spellStart"/>
            <w:r w:rsidRPr="005F1FAF">
              <w:rPr>
                <w:rStyle w:val="do1"/>
                <w:b w:val="0"/>
                <w:sz w:val="24"/>
              </w:rPr>
              <w:t>lucrării</w:t>
            </w:r>
            <w:proofErr w:type="spellEnd"/>
            <w:r w:rsidRPr="005F1FAF">
              <w:rPr>
                <w:rStyle w:val="do1"/>
                <w:b w:val="0"/>
                <w:sz w:val="24"/>
              </w:rPr>
              <w:t xml:space="preserve"> de </w:t>
            </w:r>
            <w:proofErr w:type="spellStart"/>
            <w:r w:rsidRPr="005F1FAF">
              <w:rPr>
                <w:rStyle w:val="do1"/>
                <w:b w:val="0"/>
                <w:sz w:val="24"/>
              </w:rPr>
              <w:t>utilitate</w:t>
            </w:r>
            <w:proofErr w:type="spellEnd"/>
            <w:r w:rsidRPr="005F1FAF">
              <w:rPr>
                <w:rStyle w:val="do1"/>
                <w:b w:val="0"/>
                <w:sz w:val="24"/>
              </w:rPr>
              <w:t xml:space="preserve"> </w:t>
            </w:r>
            <w:proofErr w:type="spellStart"/>
            <w:r w:rsidRPr="005F1FAF">
              <w:rPr>
                <w:rStyle w:val="do1"/>
                <w:b w:val="0"/>
                <w:sz w:val="24"/>
              </w:rPr>
              <w:t>publică</w:t>
            </w:r>
            <w:proofErr w:type="spellEnd"/>
            <w:r w:rsidRPr="005F1FAF">
              <w:rPr>
                <w:rStyle w:val="do1"/>
                <w:b w:val="0"/>
                <w:sz w:val="24"/>
              </w:rPr>
              <w:t xml:space="preserve"> "</w:t>
            </w:r>
            <w:proofErr w:type="spellStart"/>
            <w:r w:rsidRPr="005F1FAF">
              <w:rPr>
                <w:rStyle w:val="do1"/>
                <w:b w:val="0"/>
                <w:sz w:val="24"/>
              </w:rPr>
              <w:t>Lărgire</w:t>
            </w:r>
            <w:proofErr w:type="spellEnd"/>
            <w:r w:rsidRPr="005F1FAF">
              <w:rPr>
                <w:rStyle w:val="do1"/>
                <w:b w:val="0"/>
                <w:sz w:val="24"/>
              </w:rPr>
              <w:t xml:space="preserve"> la 4 </w:t>
            </w:r>
            <w:proofErr w:type="spellStart"/>
            <w:r w:rsidRPr="005F1FAF">
              <w:rPr>
                <w:rStyle w:val="do1"/>
                <w:b w:val="0"/>
                <w:sz w:val="24"/>
              </w:rPr>
              <w:t>benzi</w:t>
            </w:r>
            <w:proofErr w:type="spellEnd"/>
            <w:r w:rsidRPr="005F1FAF">
              <w:rPr>
                <w:rStyle w:val="do1"/>
                <w:b w:val="0"/>
                <w:sz w:val="24"/>
              </w:rPr>
              <w:t xml:space="preserve"> - </w:t>
            </w:r>
            <w:proofErr w:type="spellStart"/>
            <w:r w:rsidRPr="005F1FAF">
              <w:rPr>
                <w:rStyle w:val="do1"/>
                <w:b w:val="0"/>
                <w:sz w:val="24"/>
              </w:rPr>
              <w:t>Centura</w:t>
            </w:r>
            <w:proofErr w:type="spellEnd"/>
            <w:r w:rsidRPr="005F1FAF">
              <w:rPr>
                <w:rStyle w:val="do1"/>
                <w:b w:val="0"/>
                <w:sz w:val="24"/>
              </w:rPr>
              <w:t xml:space="preserve"> </w:t>
            </w:r>
            <w:proofErr w:type="spellStart"/>
            <w:r w:rsidRPr="005F1FAF">
              <w:rPr>
                <w:rStyle w:val="do1"/>
                <w:b w:val="0"/>
                <w:sz w:val="24"/>
              </w:rPr>
              <w:t>Bucureşti</w:t>
            </w:r>
            <w:proofErr w:type="spellEnd"/>
            <w:r w:rsidRPr="005F1FAF">
              <w:rPr>
                <w:rStyle w:val="do1"/>
                <w:b w:val="0"/>
                <w:sz w:val="24"/>
              </w:rPr>
              <w:t xml:space="preserve"> </w:t>
            </w:r>
            <w:proofErr w:type="spellStart"/>
            <w:r w:rsidRPr="005F1FAF">
              <w:rPr>
                <w:rStyle w:val="do1"/>
                <w:b w:val="0"/>
                <w:sz w:val="24"/>
              </w:rPr>
              <w:t>Sud</w:t>
            </w:r>
            <w:proofErr w:type="spellEnd"/>
            <w:r w:rsidRPr="005F1FAF">
              <w:rPr>
                <w:rStyle w:val="do1"/>
                <w:b w:val="0"/>
                <w:sz w:val="24"/>
              </w:rPr>
              <w:t xml:space="preserve"> </w:t>
            </w:r>
            <w:proofErr w:type="spellStart"/>
            <w:r w:rsidRPr="005F1FAF">
              <w:rPr>
                <w:rStyle w:val="do1"/>
                <w:b w:val="0"/>
                <w:sz w:val="24"/>
              </w:rPr>
              <w:t>între</w:t>
            </w:r>
            <w:proofErr w:type="spellEnd"/>
            <w:r w:rsidRPr="005F1FAF">
              <w:rPr>
                <w:rStyle w:val="do1"/>
                <w:b w:val="0"/>
                <w:sz w:val="24"/>
              </w:rPr>
              <w:t xml:space="preserve"> A2 (km 23+600) </w:t>
            </w:r>
            <w:proofErr w:type="spellStart"/>
            <w:r w:rsidRPr="005F1FAF">
              <w:rPr>
                <w:rStyle w:val="do1"/>
                <w:b w:val="0"/>
                <w:sz w:val="24"/>
              </w:rPr>
              <w:t>şi</w:t>
            </w:r>
            <w:proofErr w:type="spellEnd"/>
            <w:r w:rsidRPr="005F1FAF">
              <w:rPr>
                <w:rStyle w:val="do1"/>
                <w:b w:val="0"/>
                <w:sz w:val="24"/>
              </w:rPr>
              <w:t xml:space="preserve"> A1 (km 55+520)"</w:t>
            </w:r>
            <w:r w:rsidR="004E300F" w:rsidRPr="005F1FAF">
              <w:rPr>
                <w:rStyle w:val="do1"/>
                <w:b w:val="0"/>
                <w:sz w:val="24"/>
              </w:rPr>
              <w:t>.</w:t>
            </w:r>
          </w:p>
          <w:p w:rsidR="004E300F" w:rsidRPr="005F1FAF" w:rsidRDefault="004E300F" w:rsidP="00B0425D">
            <w:pPr>
              <w:pStyle w:val="ListParagraph"/>
              <w:ind w:left="0"/>
              <w:jc w:val="both"/>
            </w:pPr>
            <w:proofErr w:type="spellStart"/>
            <w:r w:rsidRPr="005F1FAF">
              <w:t>În</w:t>
            </w:r>
            <w:proofErr w:type="spellEnd"/>
            <w:r w:rsidRPr="005F1FAF">
              <w:t xml:space="preserve"> </w:t>
            </w:r>
            <w:proofErr w:type="spellStart"/>
            <w:r w:rsidRPr="005F1FAF">
              <w:t>conformitate</w:t>
            </w:r>
            <w:proofErr w:type="spellEnd"/>
            <w:r w:rsidRPr="005F1FAF">
              <w:t xml:space="preserve"> cu </w:t>
            </w:r>
            <w:proofErr w:type="spellStart"/>
            <w:r w:rsidRPr="005F1FAF">
              <w:t>prevederile</w:t>
            </w:r>
            <w:proofErr w:type="spellEnd"/>
            <w:r w:rsidRPr="005F1FAF">
              <w:t xml:space="preserve"> art. </w:t>
            </w:r>
            <w:proofErr w:type="gramStart"/>
            <w:r w:rsidRPr="005F1FAF">
              <w:t xml:space="preserve">7 </w:t>
            </w:r>
            <w:proofErr w:type="spellStart"/>
            <w:r w:rsidRPr="005F1FAF">
              <w:t>și</w:t>
            </w:r>
            <w:proofErr w:type="spellEnd"/>
            <w:proofErr w:type="gramEnd"/>
            <w:r w:rsidRPr="005F1FAF">
              <w:t xml:space="preserve"> art. </w:t>
            </w:r>
            <w:proofErr w:type="gramStart"/>
            <w:r w:rsidRPr="005F1FAF">
              <w:t>15 ale</w:t>
            </w:r>
            <w:proofErr w:type="gramEnd"/>
            <w:r w:rsidRPr="005F1FAF">
              <w:t xml:space="preserve"> </w:t>
            </w:r>
            <w:proofErr w:type="spellStart"/>
            <w:r w:rsidRPr="005F1FAF">
              <w:t>Legii</w:t>
            </w:r>
            <w:proofErr w:type="spellEnd"/>
            <w:r w:rsidRPr="005F1FAF">
              <w:t xml:space="preserve"> </w:t>
            </w:r>
            <w:proofErr w:type="spellStart"/>
            <w:r w:rsidRPr="005F1FAF">
              <w:t>nr</w:t>
            </w:r>
            <w:proofErr w:type="spellEnd"/>
            <w:r w:rsidRPr="005F1FAF">
              <w:t xml:space="preserve">. 198/2004, </w:t>
            </w:r>
            <w:proofErr w:type="spellStart"/>
            <w:r w:rsidRPr="005F1FAF">
              <w:rPr>
                <w:b/>
                <w:i/>
                <w:u w:val="single"/>
              </w:rPr>
              <w:t>transferul</w:t>
            </w:r>
            <w:proofErr w:type="spellEnd"/>
            <w:r w:rsidRPr="005F1FAF">
              <w:rPr>
                <w:b/>
                <w:i/>
                <w:u w:val="single"/>
              </w:rPr>
              <w:t xml:space="preserve"> </w:t>
            </w:r>
            <w:proofErr w:type="spellStart"/>
            <w:r w:rsidRPr="005F1FAF">
              <w:rPr>
                <w:b/>
                <w:i/>
                <w:u w:val="single"/>
              </w:rPr>
              <w:t>dreptului</w:t>
            </w:r>
            <w:proofErr w:type="spellEnd"/>
            <w:r w:rsidRPr="005F1FAF">
              <w:rPr>
                <w:b/>
                <w:i/>
                <w:u w:val="single"/>
              </w:rPr>
              <w:t xml:space="preserve"> de </w:t>
            </w:r>
            <w:proofErr w:type="spellStart"/>
            <w:r w:rsidRPr="005F1FAF">
              <w:rPr>
                <w:b/>
                <w:i/>
                <w:u w:val="single"/>
              </w:rPr>
              <w:t>proprietate</w:t>
            </w:r>
            <w:proofErr w:type="spellEnd"/>
            <w:r w:rsidRPr="005F1FAF">
              <w:t xml:space="preserve"> din </w:t>
            </w:r>
            <w:proofErr w:type="spellStart"/>
            <w:r w:rsidRPr="005F1FAF">
              <w:t>proprietate</w:t>
            </w:r>
            <w:proofErr w:type="spellEnd"/>
            <w:r w:rsidRPr="005F1FAF">
              <w:t xml:space="preserve"> </w:t>
            </w:r>
            <w:proofErr w:type="spellStart"/>
            <w:r w:rsidRPr="005F1FAF">
              <w:t>privată</w:t>
            </w:r>
            <w:proofErr w:type="spellEnd"/>
            <w:r w:rsidRPr="005F1FAF">
              <w:t xml:space="preserve"> </w:t>
            </w:r>
            <w:proofErr w:type="spellStart"/>
            <w:r w:rsidRPr="005F1FAF">
              <w:t>în</w:t>
            </w:r>
            <w:proofErr w:type="spellEnd"/>
            <w:r w:rsidRPr="005F1FAF">
              <w:t xml:space="preserve"> </w:t>
            </w:r>
            <w:proofErr w:type="spellStart"/>
            <w:r w:rsidRPr="005F1FAF">
              <w:t>proprietatea</w:t>
            </w:r>
            <w:proofErr w:type="spellEnd"/>
            <w:r w:rsidRPr="005F1FAF">
              <w:t xml:space="preserve"> </w:t>
            </w:r>
            <w:proofErr w:type="spellStart"/>
            <w:r w:rsidRPr="005F1FAF">
              <w:t>publică</w:t>
            </w:r>
            <w:proofErr w:type="spellEnd"/>
            <w:r w:rsidRPr="005F1FAF">
              <w:t xml:space="preserve"> a </w:t>
            </w:r>
            <w:proofErr w:type="spellStart"/>
            <w:r w:rsidRPr="005F1FAF">
              <w:t>statului</w:t>
            </w:r>
            <w:proofErr w:type="spellEnd"/>
            <w:r w:rsidRPr="005F1FAF">
              <w:t xml:space="preserve"> </w:t>
            </w:r>
            <w:proofErr w:type="spellStart"/>
            <w:r w:rsidRPr="005F1FAF">
              <w:t>sau</w:t>
            </w:r>
            <w:proofErr w:type="spellEnd"/>
            <w:r w:rsidRPr="005F1FAF">
              <w:t xml:space="preserve"> a </w:t>
            </w:r>
            <w:proofErr w:type="spellStart"/>
            <w:r w:rsidRPr="005F1FAF">
              <w:t>unităților</w:t>
            </w:r>
            <w:proofErr w:type="spellEnd"/>
            <w:r w:rsidRPr="005F1FAF">
              <w:t xml:space="preserve"> </w:t>
            </w:r>
            <w:proofErr w:type="spellStart"/>
            <w:r w:rsidRPr="005F1FAF">
              <w:t>administrativ</w:t>
            </w:r>
            <w:proofErr w:type="spellEnd"/>
            <w:r w:rsidRPr="005F1FAF">
              <w:t xml:space="preserve"> - </w:t>
            </w:r>
            <w:proofErr w:type="spellStart"/>
            <w:r w:rsidRPr="005F1FAF">
              <w:t>teritoriale</w:t>
            </w:r>
            <w:proofErr w:type="spellEnd"/>
            <w:r w:rsidRPr="005F1FAF">
              <w:t xml:space="preserve"> </w:t>
            </w:r>
            <w:proofErr w:type="spellStart"/>
            <w:r w:rsidRPr="005F1FAF">
              <w:t>şi</w:t>
            </w:r>
            <w:proofErr w:type="spellEnd"/>
            <w:r w:rsidRPr="005F1FAF">
              <w:t xml:space="preserve"> </w:t>
            </w:r>
            <w:proofErr w:type="spellStart"/>
            <w:r w:rsidRPr="005F1FAF">
              <w:t>în</w:t>
            </w:r>
            <w:proofErr w:type="spellEnd"/>
            <w:r w:rsidRPr="005F1FAF">
              <w:t xml:space="preserve"> </w:t>
            </w:r>
            <w:proofErr w:type="spellStart"/>
            <w:r w:rsidRPr="005F1FAF">
              <w:t>administrarea</w:t>
            </w:r>
            <w:proofErr w:type="spellEnd"/>
            <w:r w:rsidRPr="005F1FAF">
              <w:t xml:space="preserve"> </w:t>
            </w:r>
            <w:proofErr w:type="spellStart"/>
            <w:r w:rsidRPr="005F1FAF">
              <w:t>expropriatorului</w:t>
            </w:r>
            <w:proofErr w:type="spellEnd"/>
            <w:r w:rsidRPr="005F1FAF">
              <w:t xml:space="preserve"> </w:t>
            </w:r>
            <w:r w:rsidRPr="005F1FAF">
              <w:rPr>
                <w:b/>
                <w:i/>
                <w:u w:val="single"/>
              </w:rPr>
              <w:t xml:space="preserve">opera de </w:t>
            </w:r>
            <w:proofErr w:type="spellStart"/>
            <w:r w:rsidRPr="005F1FAF">
              <w:rPr>
                <w:b/>
                <w:i/>
                <w:u w:val="single"/>
              </w:rPr>
              <w:t>drept</w:t>
            </w:r>
            <w:proofErr w:type="spellEnd"/>
            <w:r w:rsidRPr="005F1FAF">
              <w:rPr>
                <w:b/>
                <w:i/>
                <w:u w:val="single"/>
              </w:rPr>
              <w:t xml:space="preserve"> la data </w:t>
            </w:r>
            <w:proofErr w:type="spellStart"/>
            <w:r w:rsidRPr="005F1FAF">
              <w:rPr>
                <w:b/>
                <w:i/>
                <w:u w:val="single"/>
              </w:rPr>
              <w:t>plăţii</w:t>
            </w:r>
            <w:proofErr w:type="spellEnd"/>
            <w:r w:rsidRPr="005F1FAF">
              <w:rPr>
                <w:b/>
                <w:i/>
                <w:u w:val="single"/>
              </w:rPr>
              <w:t xml:space="preserve"> </w:t>
            </w:r>
            <w:proofErr w:type="spellStart"/>
            <w:r w:rsidRPr="005F1FAF">
              <w:rPr>
                <w:b/>
                <w:i/>
                <w:u w:val="single"/>
              </w:rPr>
              <w:t>despăgubirilor</w:t>
            </w:r>
            <w:proofErr w:type="spellEnd"/>
            <w:r w:rsidRPr="005F1FAF">
              <w:rPr>
                <w:b/>
                <w:i/>
                <w:u w:val="single"/>
              </w:rPr>
              <w:t xml:space="preserve"> </w:t>
            </w:r>
            <w:proofErr w:type="spellStart"/>
            <w:r w:rsidRPr="005F1FAF">
              <w:rPr>
                <w:b/>
                <w:i/>
                <w:u w:val="single"/>
              </w:rPr>
              <w:t>pentru</w:t>
            </w:r>
            <w:proofErr w:type="spellEnd"/>
            <w:r w:rsidRPr="005F1FAF">
              <w:rPr>
                <w:b/>
                <w:i/>
                <w:u w:val="single"/>
              </w:rPr>
              <w:t xml:space="preserve"> </w:t>
            </w:r>
            <w:proofErr w:type="spellStart"/>
            <w:r w:rsidRPr="005F1FAF">
              <w:rPr>
                <w:b/>
                <w:i/>
                <w:u w:val="single"/>
              </w:rPr>
              <w:t>expropriere</w:t>
            </w:r>
            <w:proofErr w:type="spellEnd"/>
            <w:r w:rsidRPr="005F1FAF">
              <w:rPr>
                <w:b/>
                <w:i/>
                <w:u w:val="single"/>
              </w:rPr>
              <w:t xml:space="preserve"> </w:t>
            </w:r>
            <w:proofErr w:type="spellStart"/>
            <w:r w:rsidRPr="005F1FAF">
              <w:rPr>
                <w:b/>
                <w:i/>
                <w:u w:val="single"/>
              </w:rPr>
              <w:t>sau</w:t>
            </w:r>
            <w:proofErr w:type="spellEnd"/>
            <w:r w:rsidRPr="005F1FAF">
              <w:rPr>
                <w:b/>
                <w:i/>
                <w:u w:val="single"/>
              </w:rPr>
              <w:t xml:space="preserve">, </w:t>
            </w:r>
            <w:proofErr w:type="spellStart"/>
            <w:r w:rsidRPr="005F1FAF">
              <w:rPr>
                <w:b/>
                <w:i/>
                <w:u w:val="single"/>
              </w:rPr>
              <w:t>după</w:t>
            </w:r>
            <w:proofErr w:type="spellEnd"/>
            <w:r w:rsidRPr="005F1FAF">
              <w:rPr>
                <w:b/>
                <w:i/>
                <w:u w:val="single"/>
              </w:rPr>
              <w:t xml:space="preserve"> </w:t>
            </w:r>
            <w:proofErr w:type="spellStart"/>
            <w:r w:rsidRPr="005F1FAF">
              <w:rPr>
                <w:b/>
                <w:i/>
                <w:u w:val="single"/>
              </w:rPr>
              <w:t>caz</w:t>
            </w:r>
            <w:proofErr w:type="spellEnd"/>
            <w:r w:rsidRPr="005F1FAF">
              <w:rPr>
                <w:b/>
                <w:i/>
                <w:u w:val="single"/>
              </w:rPr>
              <w:t xml:space="preserve">, la data </w:t>
            </w:r>
            <w:proofErr w:type="spellStart"/>
            <w:r w:rsidRPr="005F1FAF">
              <w:rPr>
                <w:b/>
                <w:i/>
                <w:u w:val="single"/>
              </w:rPr>
              <w:t>consemnării</w:t>
            </w:r>
            <w:proofErr w:type="spellEnd"/>
            <w:r w:rsidRPr="005F1FAF">
              <w:rPr>
                <w:b/>
                <w:i/>
                <w:u w:val="single"/>
              </w:rPr>
              <w:t xml:space="preserve"> </w:t>
            </w:r>
            <w:proofErr w:type="spellStart"/>
            <w:r w:rsidRPr="005F1FAF">
              <w:rPr>
                <w:b/>
                <w:i/>
                <w:u w:val="single"/>
              </w:rPr>
              <w:t>acestora</w:t>
            </w:r>
            <w:proofErr w:type="spellEnd"/>
            <w:r w:rsidRPr="005F1FAF">
              <w:rPr>
                <w:b/>
                <w:i/>
                <w:u w:val="single"/>
              </w:rPr>
              <w:t xml:space="preserve"> </w:t>
            </w:r>
            <w:proofErr w:type="spellStart"/>
            <w:r w:rsidRPr="005F1FAF">
              <w:rPr>
                <w:b/>
                <w:i/>
                <w:u w:val="single"/>
              </w:rPr>
              <w:t>după</w:t>
            </w:r>
            <w:proofErr w:type="spellEnd"/>
            <w:r w:rsidRPr="005F1FAF">
              <w:rPr>
                <w:b/>
                <w:i/>
                <w:u w:val="single"/>
              </w:rPr>
              <w:t xml:space="preserve"> </w:t>
            </w:r>
            <w:proofErr w:type="spellStart"/>
            <w:r w:rsidRPr="005F1FAF">
              <w:rPr>
                <w:b/>
                <w:i/>
                <w:u w:val="single"/>
              </w:rPr>
              <w:t>emiterea</w:t>
            </w:r>
            <w:proofErr w:type="spellEnd"/>
            <w:r w:rsidRPr="005F1FAF">
              <w:rPr>
                <w:b/>
                <w:i/>
                <w:u w:val="single"/>
              </w:rPr>
              <w:t xml:space="preserve"> ,,</w:t>
            </w:r>
            <w:proofErr w:type="spellStart"/>
            <w:r w:rsidRPr="005F1FAF">
              <w:rPr>
                <w:b/>
                <w:i/>
                <w:u w:val="single"/>
              </w:rPr>
              <w:t>Hotărârii</w:t>
            </w:r>
            <w:proofErr w:type="spellEnd"/>
            <w:r w:rsidRPr="005F1FAF">
              <w:rPr>
                <w:b/>
                <w:i/>
                <w:u w:val="single"/>
              </w:rPr>
              <w:t xml:space="preserve"> de </w:t>
            </w:r>
            <w:proofErr w:type="spellStart"/>
            <w:r w:rsidRPr="005F1FAF">
              <w:rPr>
                <w:b/>
                <w:i/>
                <w:u w:val="single"/>
              </w:rPr>
              <w:t>stabilire</w:t>
            </w:r>
            <w:proofErr w:type="spellEnd"/>
            <w:r w:rsidRPr="005F1FAF">
              <w:rPr>
                <w:b/>
                <w:i/>
                <w:u w:val="single"/>
              </w:rPr>
              <w:t xml:space="preserve"> a </w:t>
            </w:r>
            <w:proofErr w:type="spellStart"/>
            <w:r w:rsidRPr="005F1FAF">
              <w:rPr>
                <w:b/>
                <w:i/>
                <w:u w:val="single"/>
              </w:rPr>
              <w:t>despagubirilor</w:t>
            </w:r>
            <w:proofErr w:type="spellEnd"/>
            <w:r w:rsidRPr="005F1FAF">
              <w:t xml:space="preserve">”. </w:t>
            </w:r>
          </w:p>
          <w:p w:rsidR="00F7006D" w:rsidRPr="005F1FAF" w:rsidRDefault="00F7006D" w:rsidP="00B0425D">
            <w:pPr>
              <w:autoSpaceDE w:val="0"/>
              <w:autoSpaceDN w:val="0"/>
              <w:adjustRightInd w:val="0"/>
              <w:jc w:val="both"/>
              <w:rPr>
                <w:rStyle w:val="tpa1"/>
                <w:bCs/>
                <w:sz w:val="24"/>
                <w:szCs w:val="24"/>
              </w:rPr>
            </w:pPr>
            <w:r w:rsidRPr="005F1FAF">
              <w:rPr>
                <w:sz w:val="24"/>
                <w:szCs w:val="24"/>
              </w:rPr>
              <w:t xml:space="preserve">Ca urmare a modificărilor survenite în proiectul tehnic și având în vedere faptul că Legea nr. 198/2004, cu modificările și completările ulterioare, a fost abrogată prin Legea nr. 255/2010 </w:t>
            </w:r>
            <w:r w:rsidR="00967AAE" w:rsidRPr="005F1FAF">
              <w:rPr>
                <w:bCs/>
                <w:sz w:val="24"/>
                <w:szCs w:val="24"/>
              </w:rPr>
              <w:t xml:space="preserve">privind exproprierea pentru cauză de utilitate publică, </w:t>
            </w:r>
            <w:r w:rsidR="00967AAE" w:rsidRPr="005F1FAF">
              <w:rPr>
                <w:bCs/>
                <w:sz w:val="24"/>
                <w:szCs w:val="24"/>
              </w:rPr>
              <w:lastRenderedPageBreak/>
              <w:t>necesară realizării unor obiective de interes național, județean și local, cu modificările și completările ulterioare</w:t>
            </w:r>
            <w:r w:rsidRPr="005F1FAF">
              <w:rPr>
                <w:sz w:val="24"/>
                <w:szCs w:val="24"/>
              </w:rPr>
              <w:t xml:space="preserve">, în scopul continuării executării lucrărilor în conformitate cu soluția aprobată, </w:t>
            </w:r>
            <w:r w:rsidRPr="005F1FAF">
              <w:rPr>
                <w:rStyle w:val="tpa1"/>
                <w:bCs/>
                <w:sz w:val="24"/>
                <w:szCs w:val="24"/>
              </w:rPr>
              <w:t>prin Hotărârea Guvernului nr</w:t>
            </w:r>
            <w:r w:rsidR="00BD743F" w:rsidRPr="005F1FAF">
              <w:rPr>
                <w:rStyle w:val="tpa1"/>
                <w:bCs/>
                <w:sz w:val="24"/>
                <w:szCs w:val="24"/>
              </w:rPr>
              <w:t>.</w:t>
            </w:r>
            <w:r w:rsidRPr="005F1FAF">
              <w:rPr>
                <w:rStyle w:val="tpa1"/>
                <w:bCs/>
                <w:sz w:val="24"/>
                <w:szCs w:val="24"/>
              </w:rPr>
              <w:t xml:space="preserve"> 177/2020</w:t>
            </w:r>
            <w:r w:rsidR="00967AAE" w:rsidRPr="005F1FAF">
              <w:rPr>
                <w:rStyle w:val="tpa1"/>
                <w:bCs/>
                <w:sz w:val="24"/>
                <w:szCs w:val="24"/>
              </w:rPr>
              <w:t>,</w:t>
            </w:r>
            <w:r w:rsidR="006E6044" w:rsidRPr="005F1FAF">
              <w:rPr>
                <w:rStyle w:val="tpa1"/>
                <w:bCs/>
                <w:sz w:val="24"/>
                <w:szCs w:val="24"/>
              </w:rPr>
              <w:t xml:space="preserve"> a fost modificată și completată </w:t>
            </w:r>
            <w:r w:rsidR="006E6044" w:rsidRPr="005F1FAF">
              <w:rPr>
                <w:bCs/>
                <w:sz w:val="24"/>
                <w:szCs w:val="24"/>
              </w:rPr>
              <w:t>Hotărârea Guvernului nr. 499/2010 și s-a aprobat declanșarea procedurilor de expropriere pentru o suprafață de 154.264</w:t>
            </w:r>
            <w:r w:rsidR="00967AAE" w:rsidRPr="005F1FAF">
              <w:rPr>
                <w:bCs/>
                <w:sz w:val="24"/>
                <w:szCs w:val="24"/>
              </w:rPr>
              <w:t xml:space="preserve"> </w:t>
            </w:r>
            <w:r w:rsidR="006E6044" w:rsidRPr="005F1FAF">
              <w:rPr>
                <w:bCs/>
                <w:sz w:val="24"/>
                <w:szCs w:val="24"/>
              </w:rPr>
              <w:t>mp, aferentă un</w:t>
            </w:r>
            <w:r w:rsidR="003615F5" w:rsidRPr="005F1FAF">
              <w:rPr>
                <w:bCs/>
                <w:sz w:val="24"/>
                <w:szCs w:val="24"/>
              </w:rPr>
              <w:t>u</w:t>
            </w:r>
            <w:r w:rsidR="006E6044" w:rsidRPr="005F1FAF">
              <w:rPr>
                <w:bCs/>
                <w:sz w:val="24"/>
                <w:szCs w:val="24"/>
              </w:rPr>
              <w:t>i număr de 292 imobile proprietate privată, deținute de persoane fizice și juridice.</w:t>
            </w:r>
          </w:p>
          <w:p w:rsidR="007C28FE" w:rsidRPr="005F1FAF" w:rsidRDefault="007C28FE" w:rsidP="00B0425D">
            <w:pPr>
              <w:autoSpaceDE w:val="0"/>
              <w:autoSpaceDN w:val="0"/>
              <w:adjustRightInd w:val="0"/>
              <w:jc w:val="both"/>
              <w:rPr>
                <w:bCs/>
                <w:sz w:val="24"/>
                <w:szCs w:val="24"/>
              </w:rPr>
            </w:pPr>
            <w:r w:rsidRPr="005F1FAF">
              <w:rPr>
                <w:sz w:val="24"/>
                <w:szCs w:val="24"/>
              </w:rPr>
              <w:t xml:space="preserve">    </w:t>
            </w:r>
            <w:r w:rsidR="00967AAE" w:rsidRPr="005F1FAF">
              <w:rPr>
                <w:sz w:val="24"/>
                <w:szCs w:val="24"/>
              </w:rPr>
              <w:t xml:space="preserve">     </w:t>
            </w:r>
            <w:r w:rsidRPr="005F1FAF">
              <w:rPr>
                <w:sz w:val="24"/>
                <w:szCs w:val="24"/>
              </w:rPr>
              <w:t xml:space="preserve"> Conform prevederilor Legii nr. 255/2010 </w:t>
            </w:r>
            <w:r w:rsidRPr="005F1FAF">
              <w:rPr>
                <w:bCs/>
                <w:sz w:val="24"/>
                <w:szCs w:val="24"/>
              </w:rPr>
              <w:t>privind exproprierea pentru cauză de utilitate publică, necesară realizării unor obiective de interes național, județean și local, cu modificările și completările ulterioare, au fost parcurse următoarele etape:</w:t>
            </w:r>
          </w:p>
          <w:p w:rsidR="008C3FCE" w:rsidRPr="005F1FAF" w:rsidRDefault="00B0425D" w:rsidP="00B0425D">
            <w:pPr>
              <w:autoSpaceDE w:val="0"/>
              <w:autoSpaceDN w:val="0"/>
              <w:adjustRightInd w:val="0"/>
              <w:jc w:val="both"/>
              <w:rPr>
                <w:sz w:val="24"/>
                <w:szCs w:val="24"/>
              </w:rPr>
            </w:pPr>
            <w:r w:rsidRPr="005F1FAF">
              <w:rPr>
                <w:b/>
                <w:sz w:val="24"/>
                <w:szCs w:val="24"/>
              </w:rPr>
              <w:t>a)</w:t>
            </w:r>
            <w:r w:rsidRPr="005F1FAF">
              <w:rPr>
                <w:sz w:val="24"/>
                <w:szCs w:val="24"/>
              </w:rPr>
              <w:t xml:space="preserve"> </w:t>
            </w:r>
            <w:r w:rsidR="008C3FCE" w:rsidRPr="005F1FAF">
              <w:rPr>
                <w:sz w:val="24"/>
                <w:szCs w:val="24"/>
              </w:rPr>
              <w:t>Consemnarea sumelor prevăzute ca justă despăgubire;</w:t>
            </w:r>
          </w:p>
          <w:p w:rsidR="008C3FCE" w:rsidRPr="005F1FAF" w:rsidRDefault="00B0425D" w:rsidP="00082E5A">
            <w:pPr>
              <w:pStyle w:val="ListParagraph"/>
              <w:autoSpaceDE w:val="0"/>
              <w:autoSpaceDN w:val="0"/>
              <w:adjustRightInd w:val="0"/>
              <w:ind w:left="0" w:hanging="20"/>
              <w:jc w:val="both"/>
            </w:pPr>
            <w:r w:rsidRPr="005F1FAF">
              <w:rPr>
                <w:b/>
              </w:rPr>
              <w:t>b)</w:t>
            </w:r>
            <w:r w:rsidRPr="005F1FAF">
              <w:t xml:space="preserve"> </w:t>
            </w:r>
            <w:proofErr w:type="spellStart"/>
            <w:r w:rsidR="008C3FCE" w:rsidRPr="005F1FAF">
              <w:t>Emiterea</w:t>
            </w:r>
            <w:proofErr w:type="spellEnd"/>
            <w:r w:rsidR="008C3FCE" w:rsidRPr="005F1FAF">
              <w:t xml:space="preserve"> </w:t>
            </w:r>
            <w:proofErr w:type="spellStart"/>
            <w:r w:rsidR="008C3FCE" w:rsidRPr="005F1FAF">
              <w:t>Deciziei</w:t>
            </w:r>
            <w:proofErr w:type="spellEnd"/>
            <w:r w:rsidR="008C3FCE" w:rsidRPr="005F1FAF">
              <w:t xml:space="preserve"> de </w:t>
            </w:r>
            <w:proofErr w:type="spellStart"/>
            <w:r w:rsidR="008C3FCE" w:rsidRPr="005F1FAF">
              <w:t>expropriere</w:t>
            </w:r>
            <w:proofErr w:type="spellEnd"/>
            <w:r w:rsidR="008C3FCE" w:rsidRPr="005F1FAF">
              <w:t xml:space="preserve"> </w:t>
            </w:r>
            <w:proofErr w:type="spellStart"/>
            <w:r w:rsidR="008C3FCE" w:rsidRPr="005F1FAF">
              <w:t>nr</w:t>
            </w:r>
            <w:proofErr w:type="spellEnd"/>
            <w:r w:rsidR="008C3FCE" w:rsidRPr="005F1FAF">
              <w:t xml:space="preserve">. </w:t>
            </w:r>
            <w:r w:rsidR="006E6044" w:rsidRPr="005F1FAF">
              <w:t>653</w:t>
            </w:r>
            <w:r w:rsidR="00B55DE9" w:rsidRPr="005F1FAF">
              <w:t>/2020</w:t>
            </w:r>
            <w:r w:rsidR="008C3FCE" w:rsidRPr="005F1FAF">
              <w:t>;</w:t>
            </w:r>
          </w:p>
          <w:p w:rsidR="008C3FCE" w:rsidRPr="005F1FAF" w:rsidRDefault="008C3FCE" w:rsidP="00082E5A">
            <w:pPr>
              <w:pStyle w:val="ListParagraph"/>
              <w:numPr>
                <w:ilvl w:val="0"/>
                <w:numId w:val="21"/>
              </w:numPr>
              <w:tabs>
                <w:tab w:val="left" w:pos="70"/>
                <w:tab w:val="left" w:pos="250"/>
              </w:tabs>
              <w:autoSpaceDE w:val="0"/>
              <w:autoSpaceDN w:val="0"/>
              <w:adjustRightInd w:val="0"/>
              <w:ind w:left="0" w:firstLine="0"/>
              <w:jc w:val="both"/>
            </w:pPr>
            <w:proofErr w:type="spellStart"/>
            <w:r w:rsidRPr="005F1FAF">
              <w:t>Întocmirea</w:t>
            </w:r>
            <w:proofErr w:type="spellEnd"/>
            <w:r w:rsidRPr="005F1FAF">
              <w:t xml:space="preserve"> </w:t>
            </w:r>
            <w:proofErr w:type="spellStart"/>
            <w:r w:rsidRPr="005F1FAF">
              <w:t>documentațiilor</w:t>
            </w:r>
            <w:proofErr w:type="spellEnd"/>
            <w:r w:rsidRPr="005F1FAF">
              <w:t xml:space="preserve"> </w:t>
            </w:r>
            <w:proofErr w:type="spellStart"/>
            <w:r w:rsidRPr="005F1FAF">
              <w:t>cadastrale</w:t>
            </w:r>
            <w:proofErr w:type="spellEnd"/>
            <w:r w:rsidRPr="005F1FAF">
              <w:t xml:space="preserve"> </w:t>
            </w:r>
            <w:proofErr w:type="spellStart"/>
            <w:r w:rsidRPr="005F1FAF">
              <w:t>individuale</w:t>
            </w:r>
            <w:proofErr w:type="spellEnd"/>
            <w:r w:rsidRPr="005F1FAF">
              <w:t>;</w:t>
            </w:r>
          </w:p>
          <w:p w:rsidR="00DC28D9" w:rsidRPr="005F1FAF" w:rsidRDefault="008C3FCE" w:rsidP="00B0425D">
            <w:pPr>
              <w:pStyle w:val="ListParagraph"/>
              <w:numPr>
                <w:ilvl w:val="0"/>
                <w:numId w:val="21"/>
              </w:numPr>
              <w:tabs>
                <w:tab w:val="left" w:pos="250"/>
              </w:tabs>
              <w:autoSpaceDE w:val="0"/>
              <w:autoSpaceDN w:val="0"/>
              <w:adjustRightInd w:val="0"/>
              <w:ind w:left="0" w:firstLine="0"/>
              <w:jc w:val="both"/>
            </w:pPr>
            <w:proofErr w:type="spellStart"/>
            <w:r w:rsidRPr="005F1FAF">
              <w:t>Întocmirea</w:t>
            </w:r>
            <w:proofErr w:type="spellEnd"/>
            <w:r w:rsidRPr="005F1FAF">
              <w:t xml:space="preserve"> </w:t>
            </w:r>
            <w:proofErr w:type="spellStart"/>
            <w:r w:rsidRPr="005F1FAF">
              <w:t>Raportului</w:t>
            </w:r>
            <w:proofErr w:type="spellEnd"/>
            <w:r w:rsidRPr="005F1FAF">
              <w:t xml:space="preserve"> de </w:t>
            </w:r>
            <w:proofErr w:type="spellStart"/>
            <w:r w:rsidRPr="005F1FAF">
              <w:t>evaluare</w:t>
            </w:r>
            <w:proofErr w:type="spellEnd"/>
            <w:r w:rsidRPr="005F1FAF">
              <w:t xml:space="preserve">, </w:t>
            </w:r>
            <w:proofErr w:type="spellStart"/>
            <w:r w:rsidRPr="005F1FAF">
              <w:t>în</w:t>
            </w:r>
            <w:proofErr w:type="spellEnd"/>
            <w:r w:rsidRPr="005F1FAF">
              <w:t xml:space="preserve"> </w:t>
            </w:r>
            <w:proofErr w:type="spellStart"/>
            <w:r w:rsidRPr="005F1FAF">
              <w:t>conformitate</w:t>
            </w:r>
            <w:proofErr w:type="spellEnd"/>
            <w:r w:rsidRPr="005F1FAF">
              <w:t xml:space="preserve"> cu art. </w:t>
            </w:r>
            <w:proofErr w:type="gramStart"/>
            <w:r w:rsidRPr="005F1FAF">
              <w:t>11</w:t>
            </w:r>
            <w:proofErr w:type="gramEnd"/>
            <w:r w:rsidRPr="005F1FAF">
              <w:t xml:space="preserve"> </w:t>
            </w:r>
            <w:proofErr w:type="spellStart"/>
            <w:r w:rsidRPr="005F1FAF">
              <w:t>alin</w:t>
            </w:r>
            <w:proofErr w:type="spellEnd"/>
            <w:r w:rsidRPr="005F1FAF">
              <w:t xml:space="preserve">. (7) </w:t>
            </w:r>
            <w:proofErr w:type="gramStart"/>
            <w:r w:rsidR="001D4409" w:rsidRPr="005F1FAF">
              <w:rPr>
                <w:lang w:val="ro-RO"/>
              </w:rPr>
              <w:t>din</w:t>
            </w:r>
            <w:proofErr w:type="gramEnd"/>
            <w:r w:rsidR="001D4409" w:rsidRPr="005F1FAF">
              <w:rPr>
                <w:lang w:val="ro-RO"/>
              </w:rPr>
              <w:t xml:space="preserve"> Legea nr. 255/2010, cu modificările și completările ulterioare.</w:t>
            </w:r>
          </w:p>
          <w:p w:rsidR="00DC28D9" w:rsidRPr="005F1FAF" w:rsidRDefault="00DC28D9" w:rsidP="00B0425D">
            <w:pPr>
              <w:numPr>
                <w:ilvl w:val="0"/>
                <w:numId w:val="21"/>
              </w:numPr>
              <w:tabs>
                <w:tab w:val="left" w:pos="255"/>
              </w:tabs>
              <w:ind w:left="0" w:firstLine="0"/>
              <w:jc w:val="both"/>
              <w:rPr>
                <w:rStyle w:val="tpa1"/>
                <w:bCs/>
                <w:sz w:val="24"/>
              </w:rPr>
            </w:pPr>
            <w:r w:rsidRPr="005F1FAF">
              <w:rPr>
                <w:rStyle w:val="tpa1"/>
                <w:b/>
                <w:bCs/>
                <w:sz w:val="24"/>
                <w:u w:val="single"/>
              </w:rPr>
              <w:t>După recepționarea de către A.N.C.P.I./O.C.P.I.</w:t>
            </w:r>
            <w:r w:rsidRPr="005F1FAF">
              <w:rPr>
                <w:rStyle w:val="tpa1"/>
                <w:b/>
                <w:bCs/>
                <w:color w:val="FF0000"/>
                <w:sz w:val="24"/>
                <w:u w:val="single"/>
              </w:rPr>
              <w:t xml:space="preserve"> </w:t>
            </w:r>
            <w:r w:rsidRPr="005F1FAF">
              <w:rPr>
                <w:rStyle w:val="tpa1"/>
                <w:b/>
                <w:bCs/>
                <w:sz w:val="24"/>
                <w:u w:val="single"/>
              </w:rPr>
              <w:t xml:space="preserve">a documentațiilor cadastrale individuale, anumite date de identificare ale imobilelor supuse exproprierii conform anexei nr. 2 a Hotărârii Guvernului </w:t>
            </w:r>
            <w:r w:rsidRPr="005F1FAF">
              <w:rPr>
                <w:b/>
                <w:sz w:val="24"/>
                <w:u w:val="single"/>
              </w:rPr>
              <w:t xml:space="preserve">nr. </w:t>
            </w:r>
            <w:r w:rsidR="00774657" w:rsidRPr="005F1FAF">
              <w:rPr>
                <w:b/>
                <w:sz w:val="24"/>
                <w:u w:val="single"/>
              </w:rPr>
              <w:t>177</w:t>
            </w:r>
            <w:r w:rsidRPr="005F1FAF">
              <w:rPr>
                <w:b/>
                <w:sz w:val="24"/>
                <w:u w:val="single"/>
              </w:rPr>
              <w:t xml:space="preserve">/2020, </w:t>
            </w:r>
            <w:r w:rsidRPr="005F1FAF">
              <w:rPr>
                <w:rStyle w:val="tpa1"/>
                <w:b/>
                <w:bCs/>
                <w:sz w:val="24"/>
                <w:u w:val="single"/>
              </w:rPr>
              <w:t>au suportat modificări, în ceea ce privește</w:t>
            </w:r>
            <w:r w:rsidR="005B4EED" w:rsidRPr="005F1FAF">
              <w:rPr>
                <w:rStyle w:val="tpa1"/>
                <w:b/>
                <w:bCs/>
                <w:sz w:val="24"/>
                <w:u w:val="single"/>
              </w:rPr>
              <w:t>, suprafața de expropriat sau</w:t>
            </w:r>
            <w:r w:rsidRPr="005F1FAF">
              <w:rPr>
                <w:rStyle w:val="tpa1"/>
                <w:b/>
                <w:bCs/>
                <w:sz w:val="24"/>
                <w:u w:val="single"/>
              </w:rPr>
              <w:t xml:space="preserve"> categoria de folosință. Diferențele sus menționate sunt </w:t>
            </w:r>
            <w:r w:rsidRPr="005F1FAF">
              <w:rPr>
                <w:b/>
                <w:sz w:val="24"/>
                <w:u w:val="single"/>
              </w:rPr>
              <w:t>rezultatul măsurătorilor din teren și ale documentelor care au stat la baza realizării documentațiilor cadastrale</w:t>
            </w:r>
            <w:r w:rsidRPr="005F1FAF">
              <w:rPr>
                <w:rStyle w:val="tpa1"/>
                <w:bCs/>
                <w:sz w:val="24"/>
              </w:rPr>
              <w:t>.</w:t>
            </w:r>
          </w:p>
          <w:p w:rsidR="00DC28D9" w:rsidRPr="005F1FAF" w:rsidRDefault="00DC28D9" w:rsidP="00B0425D">
            <w:pPr>
              <w:pStyle w:val="ListParagraph"/>
              <w:autoSpaceDE w:val="0"/>
              <w:autoSpaceDN w:val="0"/>
              <w:adjustRightInd w:val="0"/>
              <w:ind w:left="0"/>
              <w:jc w:val="both"/>
              <w:rPr>
                <w:sz w:val="16"/>
                <w:szCs w:val="16"/>
              </w:rPr>
            </w:pPr>
          </w:p>
          <w:p w:rsidR="00DC28D9" w:rsidRPr="005F1FAF" w:rsidRDefault="00DC28D9" w:rsidP="00B0425D">
            <w:pPr>
              <w:pStyle w:val="ListParagraph"/>
              <w:numPr>
                <w:ilvl w:val="0"/>
                <w:numId w:val="14"/>
              </w:numPr>
              <w:tabs>
                <w:tab w:val="left" w:pos="614"/>
              </w:tabs>
              <w:ind w:left="0" w:firstLine="0"/>
              <w:jc w:val="both"/>
              <w:rPr>
                <w:bCs/>
                <w:color w:val="FF0000"/>
              </w:rPr>
            </w:pPr>
            <w:proofErr w:type="spellStart"/>
            <w:r w:rsidRPr="005F1FAF">
              <w:rPr>
                <w:bCs/>
              </w:rPr>
              <w:t>Astfel</w:t>
            </w:r>
            <w:proofErr w:type="spellEnd"/>
            <w:r w:rsidRPr="005F1FAF">
              <w:rPr>
                <w:bCs/>
              </w:rPr>
              <w:t xml:space="preserve">, </w:t>
            </w:r>
            <w:proofErr w:type="spellStart"/>
            <w:r w:rsidRPr="005F1FAF">
              <w:rPr>
                <w:bCs/>
              </w:rPr>
              <w:t>pentru</w:t>
            </w:r>
            <w:proofErr w:type="spellEnd"/>
            <w:r w:rsidRPr="005F1FAF">
              <w:rPr>
                <w:bCs/>
              </w:rPr>
              <w:t xml:space="preserve"> </w:t>
            </w:r>
            <w:proofErr w:type="gramStart"/>
            <w:r w:rsidRPr="005F1FAF">
              <w:rPr>
                <w:bCs/>
              </w:rPr>
              <w:t>un</w:t>
            </w:r>
            <w:proofErr w:type="gramEnd"/>
            <w:r w:rsidRPr="005F1FAF">
              <w:rPr>
                <w:bCs/>
              </w:rPr>
              <w:t xml:space="preserve"> </w:t>
            </w:r>
            <w:proofErr w:type="spellStart"/>
            <w:r w:rsidRPr="005F1FAF">
              <w:rPr>
                <w:bCs/>
              </w:rPr>
              <w:t>număr</w:t>
            </w:r>
            <w:proofErr w:type="spellEnd"/>
            <w:r w:rsidRPr="005F1FAF">
              <w:rPr>
                <w:bCs/>
              </w:rPr>
              <w:t xml:space="preserve"> de</w:t>
            </w:r>
            <w:r w:rsidRPr="005F1FAF">
              <w:rPr>
                <w:b/>
                <w:bCs/>
              </w:rPr>
              <w:t xml:space="preserve"> </w:t>
            </w:r>
            <w:r w:rsidR="00707411" w:rsidRPr="005F1FAF">
              <w:rPr>
                <w:b/>
                <w:bCs/>
              </w:rPr>
              <w:t xml:space="preserve">39 </w:t>
            </w:r>
            <w:proofErr w:type="spellStart"/>
            <w:r w:rsidRPr="005F1FAF">
              <w:rPr>
                <w:bCs/>
              </w:rPr>
              <w:t>imobile</w:t>
            </w:r>
            <w:proofErr w:type="spellEnd"/>
            <w:r w:rsidRPr="005F1FAF">
              <w:rPr>
                <w:bCs/>
              </w:rPr>
              <w:t xml:space="preserve">, </w:t>
            </w:r>
            <w:proofErr w:type="spellStart"/>
            <w:r w:rsidRPr="005F1FAF">
              <w:rPr>
                <w:bCs/>
              </w:rPr>
              <w:t>cuprinse</w:t>
            </w:r>
            <w:proofErr w:type="spellEnd"/>
            <w:r w:rsidRPr="005F1FAF">
              <w:rPr>
                <w:bCs/>
              </w:rPr>
              <w:t xml:space="preserve"> </w:t>
            </w:r>
            <w:proofErr w:type="spellStart"/>
            <w:r w:rsidRPr="005F1FAF">
              <w:rPr>
                <w:bCs/>
              </w:rPr>
              <w:t>în</w:t>
            </w:r>
            <w:proofErr w:type="spellEnd"/>
            <w:r w:rsidRPr="005F1FAF">
              <w:rPr>
                <w:bCs/>
              </w:rPr>
              <w:t xml:space="preserve"> </w:t>
            </w:r>
            <w:proofErr w:type="spellStart"/>
            <w:r w:rsidRPr="005F1FAF">
              <w:rPr>
                <w:bCs/>
              </w:rPr>
              <w:t>anexa</w:t>
            </w:r>
            <w:proofErr w:type="spellEnd"/>
            <w:r w:rsidRPr="005F1FAF">
              <w:rPr>
                <w:bCs/>
              </w:rPr>
              <w:t xml:space="preserve"> </w:t>
            </w:r>
            <w:proofErr w:type="spellStart"/>
            <w:r w:rsidRPr="005F1FAF">
              <w:rPr>
                <w:bCs/>
              </w:rPr>
              <w:t>nr</w:t>
            </w:r>
            <w:proofErr w:type="spellEnd"/>
            <w:r w:rsidRPr="005F1FAF">
              <w:rPr>
                <w:bCs/>
              </w:rPr>
              <w:t xml:space="preserve">. </w:t>
            </w:r>
            <w:proofErr w:type="gramStart"/>
            <w:r w:rsidRPr="005F1FAF">
              <w:rPr>
                <w:bCs/>
              </w:rPr>
              <w:t>2</w:t>
            </w:r>
            <w:proofErr w:type="gramEnd"/>
            <w:r w:rsidRPr="005F1FAF">
              <w:rPr>
                <w:bCs/>
              </w:rPr>
              <w:t xml:space="preserve"> la </w:t>
            </w:r>
            <w:proofErr w:type="spellStart"/>
            <w:r w:rsidRPr="005F1FAF">
              <w:rPr>
                <w:bCs/>
              </w:rPr>
              <w:t>Hotărârea</w:t>
            </w:r>
            <w:proofErr w:type="spellEnd"/>
            <w:r w:rsidRPr="005F1FAF">
              <w:rPr>
                <w:bCs/>
              </w:rPr>
              <w:t xml:space="preserve"> </w:t>
            </w:r>
            <w:proofErr w:type="spellStart"/>
            <w:r w:rsidRPr="005F1FAF">
              <w:rPr>
                <w:bCs/>
              </w:rPr>
              <w:t>Guvernului</w:t>
            </w:r>
            <w:proofErr w:type="spellEnd"/>
            <w:r w:rsidRPr="005F1FAF">
              <w:rPr>
                <w:bCs/>
              </w:rPr>
              <w:t xml:space="preserve"> </w:t>
            </w:r>
            <w:proofErr w:type="spellStart"/>
            <w:r w:rsidRPr="005F1FAF">
              <w:rPr>
                <w:bCs/>
              </w:rPr>
              <w:t>nr</w:t>
            </w:r>
            <w:proofErr w:type="spellEnd"/>
            <w:r w:rsidRPr="005F1FAF">
              <w:rPr>
                <w:bCs/>
              </w:rPr>
              <w:t xml:space="preserve">. </w:t>
            </w:r>
            <w:proofErr w:type="gramStart"/>
            <w:r w:rsidR="005B4EED" w:rsidRPr="005F1FAF">
              <w:rPr>
                <w:bCs/>
              </w:rPr>
              <w:t>499/2010</w:t>
            </w:r>
            <w:proofErr w:type="gramEnd"/>
            <w:r w:rsidR="00BD743F" w:rsidRPr="005F1FAF">
              <w:rPr>
                <w:bCs/>
              </w:rPr>
              <w:t>,</w:t>
            </w:r>
            <w:r w:rsidRPr="005F1FAF">
              <w:rPr>
                <w:bCs/>
              </w:rPr>
              <w:t xml:space="preserve"> cu </w:t>
            </w:r>
            <w:proofErr w:type="spellStart"/>
            <w:r w:rsidRPr="005F1FAF">
              <w:rPr>
                <w:bCs/>
              </w:rPr>
              <w:t>modificările</w:t>
            </w:r>
            <w:proofErr w:type="spellEnd"/>
            <w:r w:rsidRPr="005F1FAF">
              <w:rPr>
                <w:bCs/>
              </w:rPr>
              <w:t xml:space="preserve"> </w:t>
            </w:r>
            <w:proofErr w:type="spellStart"/>
            <w:r w:rsidRPr="005F1FAF">
              <w:rPr>
                <w:bCs/>
              </w:rPr>
              <w:t>și</w:t>
            </w:r>
            <w:proofErr w:type="spellEnd"/>
            <w:r w:rsidRPr="005F1FAF">
              <w:rPr>
                <w:bCs/>
              </w:rPr>
              <w:t xml:space="preserve"> </w:t>
            </w:r>
            <w:proofErr w:type="spellStart"/>
            <w:r w:rsidRPr="005F1FAF">
              <w:rPr>
                <w:bCs/>
              </w:rPr>
              <w:t>completările</w:t>
            </w:r>
            <w:proofErr w:type="spellEnd"/>
            <w:r w:rsidRPr="005F1FAF">
              <w:rPr>
                <w:bCs/>
              </w:rPr>
              <w:t xml:space="preserve"> </w:t>
            </w:r>
            <w:proofErr w:type="spellStart"/>
            <w:r w:rsidRPr="005F1FAF">
              <w:rPr>
                <w:bCs/>
              </w:rPr>
              <w:t>ulterioare</w:t>
            </w:r>
            <w:proofErr w:type="spellEnd"/>
            <w:r w:rsidRPr="005F1FAF">
              <w:rPr>
                <w:bCs/>
              </w:rPr>
              <w:t xml:space="preserve">, </w:t>
            </w:r>
            <w:r w:rsidRPr="005F1FAF">
              <w:t xml:space="preserve">ca </w:t>
            </w:r>
            <w:proofErr w:type="spellStart"/>
            <w:r w:rsidRPr="005F1FAF">
              <w:t>urmare</w:t>
            </w:r>
            <w:proofErr w:type="spellEnd"/>
            <w:r w:rsidRPr="005F1FAF">
              <w:t xml:space="preserve"> a </w:t>
            </w:r>
            <w:proofErr w:type="spellStart"/>
            <w:r w:rsidRPr="005F1FAF">
              <w:t>suprapunerii</w:t>
            </w:r>
            <w:proofErr w:type="spellEnd"/>
            <w:r w:rsidRPr="005F1FAF">
              <w:t xml:space="preserve"> </w:t>
            </w:r>
            <w:proofErr w:type="spellStart"/>
            <w:r w:rsidRPr="005F1FAF">
              <w:t>planurilor</w:t>
            </w:r>
            <w:proofErr w:type="spellEnd"/>
            <w:r w:rsidRPr="005F1FAF">
              <w:t xml:space="preserve"> </w:t>
            </w:r>
            <w:proofErr w:type="spellStart"/>
            <w:r w:rsidRPr="005F1FAF">
              <w:t>parcelare</w:t>
            </w:r>
            <w:proofErr w:type="spellEnd"/>
            <w:r w:rsidRPr="005F1FAF">
              <w:t xml:space="preserve"> </w:t>
            </w:r>
            <w:proofErr w:type="spellStart"/>
            <w:r w:rsidRPr="005F1FAF">
              <w:t>peste</w:t>
            </w:r>
            <w:proofErr w:type="spellEnd"/>
            <w:r w:rsidRPr="005F1FAF">
              <w:t xml:space="preserve"> </w:t>
            </w:r>
            <w:proofErr w:type="spellStart"/>
            <w:r w:rsidRPr="005F1FAF">
              <w:t>coridorul</w:t>
            </w:r>
            <w:proofErr w:type="spellEnd"/>
            <w:r w:rsidRPr="005F1FAF">
              <w:t xml:space="preserve"> de </w:t>
            </w:r>
            <w:proofErr w:type="spellStart"/>
            <w:r w:rsidRPr="005F1FAF">
              <w:t>expropriere</w:t>
            </w:r>
            <w:proofErr w:type="spellEnd"/>
            <w:r w:rsidRPr="005F1FAF">
              <w:t xml:space="preserve"> au </w:t>
            </w:r>
            <w:proofErr w:type="spellStart"/>
            <w:r w:rsidRPr="005F1FAF">
              <w:t>rezultat</w:t>
            </w:r>
            <w:proofErr w:type="spellEnd"/>
            <w:r w:rsidRPr="005F1FAF">
              <w:t xml:space="preserve"> </w:t>
            </w:r>
            <w:proofErr w:type="spellStart"/>
            <w:r w:rsidRPr="005F1FAF">
              <w:t>diferențe</w:t>
            </w:r>
            <w:proofErr w:type="spellEnd"/>
            <w:r w:rsidRPr="005F1FAF">
              <w:t xml:space="preserve"> ale </w:t>
            </w:r>
            <w:proofErr w:type="spellStart"/>
            <w:r w:rsidRPr="005F1FAF">
              <w:t>suprafețelor</w:t>
            </w:r>
            <w:proofErr w:type="spellEnd"/>
            <w:r w:rsidRPr="005F1FAF">
              <w:t xml:space="preserve"> </w:t>
            </w:r>
            <w:proofErr w:type="spellStart"/>
            <w:r w:rsidRPr="005F1FAF">
              <w:t>cuprinse</w:t>
            </w:r>
            <w:proofErr w:type="spellEnd"/>
            <w:r w:rsidRPr="005F1FAF">
              <w:t xml:space="preserve"> </w:t>
            </w:r>
            <w:proofErr w:type="spellStart"/>
            <w:r w:rsidRPr="005F1FAF">
              <w:t>în</w:t>
            </w:r>
            <w:proofErr w:type="spellEnd"/>
            <w:r w:rsidRPr="005F1FAF">
              <w:t xml:space="preserve"> </w:t>
            </w:r>
            <w:proofErr w:type="spellStart"/>
            <w:r w:rsidRPr="005F1FAF">
              <w:t>Anexa</w:t>
            </w:r>
            <w:proofErr w:type="spellEnd"/>
            <w:r w:rsidRPr="005F1FAF">
              <w:t xml:space="preserve"> </w:t>
            </w:r>
            <w:proofErr w:type="spellStart"/>
            <w:r w:rsidRPr="005F1FAF">
              <w:t>nr</w:t>
            </w:r>
            <w:proofErr w:type="spellEnd"/>
            <w:r w:rsidRPr="005F1FAF">
              <w:t xml:space="preserve">. </w:t>
            </w:r>
            <w:proofErr w:type="gramStart"/>
            <w:r w:rsidRPr="005F1FAF">
              <w:t>2 la</w:t>
            </w:r>
            <w:proofErr w:type="gramEnd"/>
            <w:r w:rsidRPr="005F1FAF">
              <w:t xml:space="preserve"> </w:t>
            </w:r>
            <w:proofErr w:type="spellStart"/>
            <w:r w:rsidRPr="005F1FAF">
              <w:t>Hotărârea</w:t>
            </w:r>
            <w:proofErr w:type="spellEnd"/>
            <w:r w:rsidRPr="005F1FAF">
              <w:t xml:space="preserve"> </w:t>
            </w:r>
            <w:proofErr w:type="spellStart"/>
            <w:r w:rsidRPr="005F1FAF">
              <w:t>antemenționată</w:t>
            </w:r>
            <w:proofErr w:type="spellEnd"/>
            <w:r w:rsidRPr="005F1FAF">
              <w:t xml:space="preserve"> </w:t>
            </w:r>
            <w:proofErr w:type="spellStart"/>
            <w:r w:rsidRPr="005F1FAF">
              <w:t>față</w:t>
            </w:r>
            <w:proofErr w:type="spellEnd"/>
            <w:r w:rsidRPr="005F1FAF">
              <w:t xml:space="preserve"> de </w:t>
            </w:r>
            <w:proofErr w:type="spellStart"/>
            <w:r w:rsidRPr="005F1FAF">
              <w:t>suprafețele</w:t>
            </w:r>
            <w:proofErr w:type="spellEnd"/>
            <w:r w:rsidRPr="005F1FAF">
              <w:t xml:space="preserve"> </w:t>
            </w:r>
            <w:proofErr w:type="spellStart"/>
            <w:r w:rsidRPr="005F1FAF">
              <w:t>rezultate</w:t>
            </w:r>
            <w:proofErr w:type="spellEnd"/>
            <w:r w:rsidRPr="005F1FAF">
              <w:t xml:space="preserve"> din </w:t>
            </w:r>
            <w:proofErr w:type="spellStart"/>
            <w:r w:rsidRPr="005F1FAF">
              <w:t>măsurătorile</w:t>
            </w:r>
            <w:proofErr w:type="spellEnd"/>
            <w:r w:rsidRPr="005F1FAF">
              <w:t xml:space="preserve"> </w:t>
            </w:r>
            <w:proofErr w:type="spellStart"/>
            <w:r w:rsidRPr="005F1FAF">
              <w:t>cadastrale</w:t>
            </w:r>
            <w:proofErr w:type="spellEnd"/>
            <w:r w:rsidRPr="005F1FAF">
              <w:rPr>
                <w:bCs/>
              </w:rPr>
              <w:t xml:space="preserve">. </w:t>
            </w:r>
            <w:proofErr w:type="spellStart"/>
            <w:proofErr w:type="gramStart"/>
            <w:r w:rsidRPr="005F1FAF">
              <w:rPr>
                <w:bCs/>
              </w:rPr>
              <w:t>Totodată</w:t>
            </w:r>
            <w:proofErr w:type="spellEnd"/>
            <w:r w:rsidRPr="005F1FAF">
              <w:rPr>
                <w:bCs/>
              </w:rPr>
              <w:t xml:space="preserve">, ca </w:t>
            </w:r>
            <w:proofErr w:type="spellStart"/>
            <w:r w:rsidRPr="005F1FAF">
              <w:rPr>
                <w:bCs/>
              </w:rPr>
              <w:t>urmare</w:t>
            </w:r>
            <w:proofErr w:type="spellEnd"/>
            <w:r w:rsidRPr="005F1FAF">
              <w:rPr>
                <w:bCs/>
              </w:rPr>
              <w:t xml:space="preserve"> a </w:t>
            </w:r>
            <w:proofErr w:type="spellStart"/>
            <w:r w:rsidRPr="005F1FAF">
              <w:rPr>
                <w:bCs/>
              </w:rPr>
              <w:t>întocmirii</w:t>
            </w:r>
            <w:proofErr w:type="spellEnd"/>
            <w:r w:rsidRPr="005F1FAF">
              <w:rPr>
                <w:bCs/>
              </w:rPr>
              <w:t xml:space="preserve"> </w:t>
            </w:r>
            <w:proofErr w:type="spellStart"/>
            <w:r w:rsidRPr="005F1FAF">
              <w:rPr>
                <w:bCs/>
              </w:rPr>
              <w:t>documentațiilor</w:t>
            </w:r>
            <w:proofErr w:type="spellEnd"/>
            <w:r w:rsidRPr="005F1FAF">
              <w:rPr>
                <w:bCs/>
              </w:rPr>
              <w:t xml:space="preserve"> </w:t>
            </w:r>
            <w:proofErr w:type="spellStart"/>
            <w:r w:rsidRPr="005F1FAF">
              <w:rPr>
                <w:bCs/>
              </w:rPr>
              <w:t>cadastrale</w:t>
            </w:r>
            <w:proofErr w:type="spellEnd"/>
            <w:r w:rsidRPr="005F1FAF">
              <w:rPr>
                <w:bCs/>
              </w:rPr>
              <w:t xml:space="preserve"> la </w:t>
            </w:r>
            <w:proofErr w:type="spellStart"/>
            <w:r w:rsidRPr="005F1FAF">
              <w:rPr>
                <w:bCs/>
              </w:rPr>
              <w:t>unele</w:t>
            </w:r>
            <w:proofErr w:type="spellEnd"/>
            <w:r w:rsidRPr="005F1FAF">
              <w:rPr>
                <w:bCs/>
              </w:rPr>
              <w:t xml:space="preserve"> </w:t>
            </w:r>
            <w:proofErr w:type="spellStart"/>
            <w:r w:rsidRPr="005F1FAF">
              <w:rPr>
                <w:bCs/>
              </w:rPr>
              <w:t>dintre</w:t>
            </w:r>
            <w:proofErr w:type="spellEnd"/>
            <w:r w:rsidRPr="005F1FAF">
              <w:rPr>
                <w:bCs/>
              </w:rPr>
              <w:t xml:space="preserve"> </w:t>
            </w:r>
            <w:proofErr w:type="spellStart"/>
            <w:r w:rsidRPr="005F1FAF">
              <w:rPr>
                <w:bCs/>
              </w:rPr>
              <w:t>cele</w:t>
            </w:r>
            <w:proofErr w:type="spellEnd"/>
            <w:r w:rsidRPr="005F1FAF">
              <w:rPr>
                <w:bCs/>
              </w:rPr>
              <w:t xml:space="preserve"> </w:t>
            </w:r>
            <w:r w:rsidR="00707411" w:rsidRPr="005F1FAF">
              <w:rPr>
                <w:b/>
                <w:bCs/>
              </w:rPr>
              <w:t>39</w:t>
            </w:r>
            <w:r w:rsidRPr="005F1FAF">
              <w:rPr>
                <w:bCs/>
              </w:rPr>
              <w:t xml:space="preserve"> </w:t>
            </w:r>
            <w:proofErr w:type="spellStart"/>
            <w:r w:rsidRPr="005F1FAF">
              <w:rPr>
                <w:bCs/>
              </w:rPr>
              <w:t>imobile</w:t>
            </w:r>
            <w:proofErr w:type="spellEnd"/>
            <w:r w:rsidRPr="005F1FAF">
              <w:rPr>
                <w:bCs/>
              </w:rPr>
              <w:t xml:space="preserve"> au </w:t>
            </w:r>
            <w:proofErr w:type="spellStart"/>
            <w:r w:rsidRPr="005F1FAF">
              <w:rPr>
                <w:bCs/>
              </w:rPr>
              <w:t>rezultat</w:t>
            </w:r>
            <w:proofErr w:type="spellEnd"/>
            <w:r w:rsidRPr="005F1FAF">
              <w:rPr>
                <w:bCs/>
              </w:rPr>
              <w:t xml:space="preserve"> </w:t>
            </w:r>
            <w:proofErr w:type="spellStart"/>
            <w:r w:rsidRPr="005F1FAF">
              <w:rPr>
                <w:bCs/>
              </w:rPr>
              <w:t>și</w:t>
            </w:r>
            <w:proofErr w:type="spellEnd"/>
            <w:r w:rsidRPr="005F1FAF">
              <w:rPr>
                <w:bCs/>
              </w:rPr>
              <w:t xml:space="preserve"> </w:t>
            </w:r>
            <w:proofErr w:type="spellStart"/>
            <w:r w:rsidRPr="005F1FAF">
              <w:rPr>
                <w:bCs/>
              </w:rPr>
              <w:t>modificări</w:t>
            </w:r>
            <w:proofErr w:type="spellEnd"/>
            <w:r w:rsidRPr="005F1FAF">
              <w:rPr>
                <w:bCs/>
              </w:rPr>
              <w:t xml:space="preserve"> ale </w:t>
            </w:r>
            <w:proofErr w:type="spellStart"/>
            <w:r w:rsidRPr="005F1FAF">
              <w:rPr>
                <w:bCs/>
              </w:rPr>
              <w:t>numelui</w:t>
            </w:r>
            <w:proofErr w:type="spellEnd"/>
            <w:r w:rsidRPr="005F1FAF">
              <w:rPr>
                <w:bCs/>
              </w:rPr>
              <w:t xml:space="preserve"> </w:t>
            </w:r>
            <w:proofErr w:type="spellStart"/>
            <w:r w:rsidRPr="005F1FAF">
              <w:rPr>
                <w:bCs/>
              </w:rPr>
              <w:t>și</w:t>
            </w:r>
            <w:proofErr w:type="spellEnd"/>
            <w:r w:rsidRPr="005F1FAF">
              <w:rPr>
                <w:bCs/>
              </w:rPr>
              <w:t>/</w:t>
            </w:r>
            <w:proofErr w:type="spellStart"/>
            <w:r w:rsidRPr="005F1FAF">
              <w:rPr>
                <w:bCs/>
              </w:rPr>
              <w:t>sau</w:t>
            </w:r>
            <w:proofErr w:type="spellEnd"/>
            <w:r w:rsidRPr="005F1FAF">
              <w:rPr>
                <w:bCs/>
              </w:rPr>
              <w:t xml:space="preserve"> </w:t>
            </w:r>
            <w:proofErr w:type="spellStart"/>
            <w:r w:rsidRPr="005F1FAF">
              <w:rPr>
                <w:bCs/>
              </w:rPr>
              <w:t>proprietarilor</w:t>
            </w:r>
            <w:proofErr w:type="spellEnd"/>
            <w:r w:rsidR="006934C8" w:rsidRPr="005F1FAF">
              <w:rPr>
                <w:bCs/>
              </w:rPr>
              <w:t xml:space="preserve"> (</w:t>
            </w:r>
            <w:proofErr w:type="spellStart"/>
            <w:r w:rsidR="006934C8" w:rsidRPr="005F1FAF">
              <w:rPr>
                <w:bCs/>
              </w:rPr>
              <w:t>respectiv</w:t>
            </w:r>
            <w:proofErr w:type="spellEnd"/>
            <w:r w:rsidR="006934C8" w:rsidRPr="005F1FAF">
              <w:rPr>
                <w:bCs/>
              </w:rPr>
              <w:t xml:space="preserve"> </w:t>
            </w:r>
            <w:proofErr w:type="spellStart"/>
            <w:r w:rsidR="0046341C" w:rsidRPr="005F1FAF">
              <w:rPr>
                <w:bCs/>
              </w:rPr>
              <w:t>unii</w:t>
            </w:r>
            <w:proofErr w:type="spellEnd"/>
            <w:r w:rsidR="0046341C" w:rsidRPr="005F1FAF">
              <w:rPr>
                <w:bCs/>
              </w:rPr>
              <w:t xml:space="preserve"> </w:t>
            </w:r>
            <w:proofErr w:type="spellStart"/>
            <w:r w:rsidRPr="005F1FAF">
              <w:rPr>
                <w:bCs/>
              </w:rPr>
              <w:t>dintre</w:t>
            </w:r>
            <w:proofErr w:type="spellEnd"/>
            <w:r w:rsidRPr="005F1FAF">
              <w:rPr>
                <w:bCs/>
              </w:rPr>
              <w:t xml:space="preserve"> </w:t>
            </w:r>
            <w:proofErr w:type="spellStart"/>
            <w:r w:rsidRPr="005F1FAF">
              <w:rPr>
                <w:bCs/>
              </w:rPr>
              <w:t>aceștia</w:t>
            </w:r>
            <w:proofErr w:type="spellEnd"/>
            <w:r w:rsidRPr="005F1FAF">
              <w:rPr>
                <w:bCs/>
              </w:rPr>
              <w:t xml:space="preserve"> care </w:t>
            </w:r>
            <w:proofErr w:type="spellStart"/>
            <w:r w:rsidRPr="005F1FAF">
              <w:rPr>
                <w:bCs/>
              </w:rPr>
              <w:t>inițial</w:t>
            </w:r>
            <w:proofErr w:type="spellEnd"/>
            <w:r w:rsidRPr="005F1FAF">
              <w:rPr>
                <w:bCs/>
              </w:rPr>
              <w:t xml:space="preserve">, </w:t>
            </w:r>
            <w:proofErr w:type="spellStart"/>
            <w:r w:rsidRPr="005F1FAF">
              <w:rPr>
                <w:bCs/>
              </w:rPr>
              <w:t>în</w:t>
            </w:r>
            <w:proofErr w:type="spellEnd"/>
            <w:r w:rsidRPr="005F1FAF">
              <w:rPr>
                <w:bCs/>
              </w:rPr>
              <w:t xml:space="preserve"> </w:t>
            </w:r>
            <w:proofErr w:type="spellStart"/>
            <w:r w:rsidRPr="005F1FAF">
              <w:rPr>
                <w:bCs/>
              </w:rPr>
              <w:t>baza</w:t>
            </w:r>
            <w:proofErr w:type="spellEnd"/>
            <w:r w:rsidRPr="005F1FAF">
              <w:rPr>
                <w:bCs/>
              </w:rPr>
              <w:t xml:space="preserve"> </w:t>
            </w:r>
            <w:proofErr w:type="spellStart"/>
            <w:r w:rsidRPr="005F1FAF">
              <w:rPr>
                <w:bCs/>
              </w:rPr>
              <w:t>informațiilor</w:t>
            </w:r>
            <w:proofErr w:type="spellEnd"/>
            <w:r w:rsidRPr="005F1FAF">
              <w:rPr>
                <w:bCs/>
              </w:rPr>
              <w:t xml:space="preserve"> </w:t>
            </w:r>
            <w:proofErr w:type="spellStart"/>
            <w:r w:rsidRPr="005F1FAF">
              <w:rPr>
                <w:bCs/>
              </w:rPr>
              <w:t>oferite</w:t>
            </w:r>
            <w:proofErr w:type="spellEnd"/>
            <w:r w:rsidRPr="005F1FAF">
              <w:rPr>
                <w:bCs/>
              </w:rPr>
              <w:t xml:space="preserve"> de </w:t>
            </w:r>
            <w:proofErr w:type="spellStart"/>
            <w:r w:rsidRPr="005F1FAF">
              <w:rPr>
                <w:bCs/>
              </w:rPr>
              <w:t>către</w:t>
            </w:r>
            <w:proofErr w:type="spellEnd"/>
            <w:r w:rsidRPr="005F1FAF">
              <w:rPr>
                <w:bCs/>
              </w:rPr>
              <w:t xml:space="preserve"> </w:t>
            </w:r>
            <w:proofErr w:type="spellStart"/>
            <w:r w:rsidRPr="005F1FAF">
              <w:rPr>
                <w:bCs/>
              </w:rPr>
              <w:t>unitățile</w:t>
            </w:r>
            <w:proofErr w:type="spellEnd"/>
            <w:r w:rsidRPr="005F1FAF">
              <w:rPr>
                <w:bCs/>
              </w:rPr>
              <w:t xml:space="preserve"> </w:t>
            </w:r>
            <w:proofErr w:type="spellStart"/>
            <w:r w:rsidRPr="005F1FAF">
              <w:rPr>
                <w:bCs/>
              </w:rPr>
              <w:t>administrativ</w:t>
            </w:r>
            <w:proofErr w:type="spellEnd"/>
            <w:r w:rsidRPr="005F1FAF">
              <w:rPr>
                <w:bCs/>
              </w:rPr>
              <w:t xml:space="preserve"> – </w:t>
            </w:r>
            <w:proofErr w:type="spellStart"/>
            <w:r w:rsidRPr="005F1FAF">
              <w:rPr>
                <w:bCs/>
              </w:rPr>
              <w:t>teritoriale</w:t>
            </w:r>
            <w:proofErr w:type="spellEnd"/>
            <w:r w:rsidRPr="005F1FAF">
              <w:rPr>
                <w:bCs/>
              </w:rPr>
              <w:t xml:space="preserve">, </w:t>
            </w:r>
            <w:proofErr w:type="spellStart"/>
            <w:r w:rsidRPr="005F1FAF">
              <w:rPr>
                <w:bCs/>
              </w:rPr>
              <w:t>erau</w:t>
            </w:r>
            <w:proofErr w:type="spellEnd"/>
            <w:r w:rsidRPr="005F1FAF">
              <w:rPr>
                <w:bCs/>
              </w:rPr>
              <w:t xml:space="preserve"> </w:t>
            </w:r>
            <w:proofErr w:type="spellStart"/>
            <w:r w:rsidRPr="005F1FAF">
              <w:rPr>
                <w:bCs/>
              </w:rPr>
              <w:t>neidentificați</w:t>
            </w:r>
            <w:proofErr w:type="spellEnd"/>
            <w:r w:rsidRPr="005F1FAF">
              <w:rPr>
                <w:bCs/>
              </w:rPr>
              <w:t>,</w:t>
            </w:r>
            <w:r w:rsidR="006934C8" w:rsidRPr="005F1FAF">
              <w:rPr>
                <w:bCs/>
              </w:rPr>
              <w:t xml:space="preserve"> </w:t>
            </w:r>
            <w:proofErr w:type="spellStart"/>
            <w:r w:rsidR="006934C8" w:rsidRPr="005F1FAF">
              <w:rPr>
                <w:bCs/>
              </w:rPr>
              <w:t>prin</w:t>
            </w:r>
            <w:proofErr w:type="spellEnd"/>
            <w:r w:rsidR="006934C8" w:rsidRPr="005F1FAF">
              <w:rPr>
                <w:bCs/>
              </w:rPr>
              <w:t xml:space="preserve"> </w:t>
            </w:r>
            <w:proofErr w:type="spellStart"/>
            <w:r w:rsidR="006934C8" w:rsidRPr="005F1FAF">
              <w:rPr>
                <w:bCs/>
              </w:rPr>
              <w:t>documentațiile</w:t>
            </w:r>
            <w:proofErr w:type="spellEnd"/>
            <w:r w:rsidR="006934C8" w:rsidRPr="005F1FAF">
              <w:rPr>
                <w:bCs/>
              </w:rPr>
              <w:t xml:space="preserve"> </w:t>
            </w:r>
            <w:proofErr w:type="spellStart"/>
            <w:r w:rsidR="006934C8" w:rsidRPr="005F1FAF">
              <w:rPr>
                <w:bCs/>
              </w:rPr>
              <w:t>c</w:t>
            </w:r>
            <w:r w:rsidR="00B826D3" w:rsidRPr="005F1FAF">
              <w:rPr>
                <w:bCs/>
              </w:rPr>
              <w:t>adastrale</w:t>
            </w:r>
            <w:proofErr w:type="spellEnd"/>
            <w:r w:rsidR="00B826D3" w:rsidRPr="005F1FAF">
              <w:rPr>
                <w:bCs/>
              </w:rPr>
              <w:t xml:space="preserve"> </w:t>
            </w:r>
            <w:proofErr w:type="spellStart"/>
            <w:r w:rsidR="00B826D3" w:rsidRPr="005F1FAF">
              <w:rPr>
                <w:bCs/>
              </w:rPr>
              <w:t>individuale</w:t>
            </w:r>
            <w:proofErr w:type="spellEnd"/>
            <w:r w:rsidR="00B826D3" w:rsidRPr="005F1FAF">
              <w:rPr>
                <w:bCs/>
              </w:rPr>
              <w:t xml:space="preserve"> au </w:t>
            </w:r>
            <w:proofErr w:type="spellStart"/>
            <w:r w:rsidR="00B826D3" w:rsidRPr="005F1FAF">
              <w:rPr>
                <w:bCs/>
              </w:rPr>
              <w:t>fost</w:t>
            </w:r>
            <w:proofErr w:type="spellEnd"/>
            <w:r w:rsidR="00B826D3" w:rsidRPr="005F1FAF">
              <w:rPr>
                <w:bCs/>
              </w:rPr>
              <w:t xml:space="preserve"> </w:t>
            </w:r>
            <w:proofErr w:type="spellStart"/>
            <w:r w:rsidR="00B826D3" w:rsidRPr="005F1FAF">
              <w:rPr>
                <w:bCs/>
              </w:rPr>
              <w:t>i</w:t>
            </w:r>
            <w:r w:rsidR="006934C8" w:rsidRPr="005F1FAF">
              <w:rPr>
                <w:bCs/>
              </w:rPr>
              <w:t>dentificați</w:t>
            </w:r>
            <w:proofErr w:type="spellEnd"/>
            <w:r w:rsidRPr="005F1FAF">
              <w:rPr>
                <w:bCs/>
              </w:rPr>
              <w:t xml:space="preserve"> </w:t>
            </w:r>
            <w:proofErr w:type="spellStart"/>
            <w:r w:rsidRPr="005F1FAF">
              <w:rPr>
                <w:bCs/>
              </w:rPr>
              <w:t>sau</w:t>
            </w:r>
            <w:proofErr w:type="spellEnd"/>
            <w:r w:rsidRPr="005F1FAF">
              <w:rPr>
                <w:bCs/>
              </w:rPr>
              <w:t xml:space="preserve"> </w:t>
            </w:r>
            <w:proofErr w:type="spellStart"/>
            <w:r w:rsidR="00FC3C3E" w:rsidRPr="005F1FAF">
              <w:rPr>
                <w:bCs/>
              </w:rPr>
              <w:t>situații</w:t>
            </w:r>
            <w:proofErr w:type="spellEnd"/>
            <w:r w:rsidR="00FC3C3E" w:rsidRPr="005F1FAF">
              <w:rPr>
                <w:bCs/>
              </w:rPr>
              <w:t xml:space="preserve"> </w:t>
            </w:r>
            <w:proofErr w:type="spellStart"/>
            <w:r w:rsidR="00FC3C3E" w:rsidRPr="005F1FAF">
              <w:rPr>
                <w:bCs/>
              </w:rPr>
              <w:t>în</w:t>
            </w:r>
            <w:proofErr w:type="spellEnd"/>
            <w:r w:rsidR="00FC3C3E" w:rsidRPr="005F1FAF">
              <w:rPr>
                <w:bCs/>
              </w:rPr>
              <w:t xml:space="preserve"> care, </w:t>
            </w:r>
            <w:proofErr w:type="spellStart"/>
            <w:r w:rsidR="00FC3C3E" w:rsidRPr="005F1FAF">
              <w:rPr>
                <w:bCs/>
              </w:rPr>
              <w:t>prin</w:t>
            </w:r>
            <w:proofErr w:type="spellEnd"/>
            <w:r w:rsidR="00FC3C3E" w:rsidRPr="005F1FAF">
              <w:rPr>
                <w:bCs/>
              </w:rPr>
              <w:t xml:space="preserve"> </w:t>
            </w:r>
            <w:proofErr w:type="spellStart"/>
            <w:r w:rsidR="00FC3C3E" w:rsidRPr="005F1FAF">
              <w:rPr>
                <w:bCs/>
              </w:rPr>
              <w:t>documentațiile</w:t>
            </w:r>
            <w:proofErr w:type="spellEnd"/>
            <w:r w:rsidR="00FC3C3E" w:rsidRPr="005F1FAF">
              <w:rPr>
                <w:bCs/>
              </w:rPr>
              <w:t xml:space="preserve"> </w:t>
            </w:r>
            <w:proofErr w:type="spellStart"/>
            <w:r w:rsidR="00FC3C3E" w:rsidRPr="005F1FAF">
              <w:rPr>
                <w:bCs/>
              </w:rPr>
              <w:t>cadastrale</w:t>
            </w:r>
            <w:proofErr w:type="spellEnd"/>
            <w:r w:rsidR="00FC3C3E" w:rsidRPr="005F1FAF">
              <w:rPr>
                <w:bCs/>
              </w:rPr>
              <w:t xml:space="preserve"> </w:t>
            </w:r>
            <w:proofErr w:type="spellStart"/>
            <w:r w:rsidR="00FC3C3E" w:rsidRPr="005F1FAF">
              <w:rPr>
                <w:bCs/>
              </w:rPr>
              <w:t>individuale</w:t>
            </w:r>
            <w:proofErr w:type="spellEnd"/>
            <w:r w:rsidR="00FC3C3E" w:rsidRPr="005F1FAF">
              <w:rPr>
                <w:bCs/>
              </w:rPr>
              <w:t xml:space="preserve"> </w:t>
            </w:r>
            <w:r w:rsidRPr="005F1FAF">
              <w:rPr>
                <w:bCs/>
              </w:rPr>
              <w:t xml:space="preserve">au </w:t>
            </w:r>
            <w:proofErr w:type="spellStart"/>
            <w:r w:rsidR="00FC3C3E" w:rsidRPr="005F1FAF">
              <w:rPr>
                <w:bCs/>
              </w:rPr>
              <w:t>fost</w:t>
            </w:r>
            <w:proofErr w:type="spellEnd"/>
            <w:r w:rsidRPr="005F1FAF">
              <w:rPr>
                <w:bCs/>
              </w:rPr>
              <w:t xml:space="preserve"> </w:t>
            </w:r>
            <w:proofErr w:type="spellStart"/>
            <w:r w:rsidRPr="005F1FAF">
              <w:rPr>
                <w:bCs/>
              </w:rPr>
              <w:t>identificați</w:t>
            </w:r>
            <w:proofErr w:type="spellEnd"/>
            <w:r w:rsidRPr="005F1FAF">
              <w:rPr>
                <w:bCs/>
              </w:rPr>
              <w:t xml:space="preserve"> </w:t>
            </w:r>
            <w:proofErr w:type="spellStart"/>
            <w:r w:rsidRPr="005F1FAF">
              <w:rPr>
                <w:bCs/>
              </w:rPr>
              <w:t>moștenitorii</w:t>
            </w:r>
            <w:proofErr w:type="spellEnd"/>
            <w:r w:rsidRPr="005F1FAF">
              <w:rPr>
                <w:bCs/>
              </w:rPr>
              <w:t xml:space="preserve"> </w:t>
            </w:r>
            <w:proofErr w:type="spellStart"/>
            <w:r w:rsidRPr="005F1FAF">
              <w:rPr>
                <w:bCs/>
              </w:rPr>
              <w:t>legali</w:t>
            </w:r>
            <w:proofErr w:type="spellEnd"/>
            <w:r w:rsidRPr="005F1FAF">
              <w:rPr>
                <w:bCs/>
              </w:rPr>
              <w:t xml:space="preserve"> </w:t>
            </w:r>
            <w:proofErr w:type="spellStart"/>
            <w:r w:rsidRPr="005F1FAF">
              <w:rPr>
                <w:bCs/>
              </w:rPr>
              <w:t>ai</w:t>
            </w:r>
            <w:proofErr w:type="spellEnd"/>
            <w:r w:rsidRPr="005F1FAF">
              <w:rPr>
                <w:bCs/>
              </w:rPr>
              <w:t xml:space="preserve"> </w:t>
            </w:r>
            <w:proofErr w:type="spellStart"/>
            <w:r w:rsidRPr="005F1FAF">
              <w:rPr>
                <w:bCs/>
              </w:rPr>
              <w:t>proprietarilor</w:t>
            </w:r>
            <w:proofErr w:type="spellEnd"/>
            <w:r w:rsidRPr="005F1FAF">
              <w:rPr>
                <w:bCs/>
              </w:rPr>
              <w:t xml:space="preserve"> </w:t>
            </w:r>
            <w:proofErr w:type="spellStart"/>
            <w:r w:rsidRPr="005F1FAF">
              <w:rPr>
                <w:bCs/>
              </w:rPr>
              <w:t>inițial</w:t>
            </w:r>
            <w:proofErr w:type="spellEnd"/>
            <w:r w:rsidRPr="005F1FAF">
              <w:rPr>
                <w:bCs/>
              </w:rPr>
              <w:t xml:space="preserve"> </w:t>
            </w:r>
            <w:proofErr w:type="spellStart"/>
            <w:r w:rsidRPr="005F1FAF">
              <w:rPr>
                <w:bCs/>
              </w:rPr>
              <w:t>identificați</w:t>
            </w:r>
            <w:proofErr w:type="spellEnd"/>
            <w:r w:rsidR="00FC3C3E" w:rsidRPr="005F1FAF">
              <w:rPr>
                <w:bCs/>
              </w:rPr>
              <w:t>).</w:t>
            </w:r>
            <w:proofErr w:type="gramEnd"/>
          </w:p>
          <w:p w:rsidR="007C2B49" w:rsidRPr="005F1FAF" w:rsidRDefault="007C2B49" w:rsidP="007C2B49">
            <w:pPr>
              <w:pStyle w:val="ListParagraph"/>
              <w:tabs>
                <w:tab w:val="left" w:pos="614"/>
              </w:tabs>
              <w:ind w:left="0"/>
              <w:jc w:val="both"/>
              <w:rPr>
                <w:bCs/>
                <w:color w:val="FF0000"/>
                <w:sz w:val="16"/>
                <w:szCs w:val="16"/>
              </w:rPr>
            </w:pPr>
          </w:p>
          <w:p w:rsidR="00DC28D9" w:rsidRPr="005F1FAF" w:rsidRDefault="00DC28D9" w:rsidP="00B0425D">
            <w:pPr>
              <w:jc w:val="both"/>
              <w:rPr>
                <w:sz w:val="24"/>
              </w:rPr>
            </w:pPr>
            <w:r w:rsidRPr="005F1FAF">
              <w:rPr>
                <w:sz w:val="24"/>
              </w:rPr>
              <w:t xml:space="preserve">În conformitate cu prevederile </w:t>
            </w:r>
            <w:r w:rsidR="005B4EED" w:rsidRPr="005F1FAF">
              <w:rPr>
                <w:sz w:val="24"/>
              </w:rPr>
              <w:t xml:space="preserve">art. 8 alin. (3) și </w:t>
            </w:r>
            <w:r w:rsidRPr="005F1FAF">
              <w:rPr>
                <w:sz w:val="24"/>
              </w:rPr>
              <w:t>art. 11 alin. (7) și alin. (8) din Legea nr. 255/2010</w:t>
            </w:r>
            <w:r w:rsidR="00BD743F" w:rsidRPr="005F1FAF">
              <w:rPr>
                <w:sz w:val="24"/>
              </w:rPr>
              <w:t>,</w:t>
            </w:r>
            <w:r w:rsidRPr="005F1FAF">
              <w:rPr>
                <w:sz w:val="24"/>
              </w:rPr>
              <w:t xml:space="preserve"> cu modificările și completările ulterioare și ale art. 8 alin. (2) și alin. (3) din Hotărârea Guvernului nr. 53/2011 privind aprobarea </w:t>
            </w:r>
            <w:r w:rsidRPr="005F1FAF">
              <w:rPr>
                <w:bCs/>
                <w:sz w:val="24"/>
              </w:rPr>
              <w:t xml:space="preserve">Normelor Metodologice de aplicare a Legii nr. </w:t>
            </w:r>
            <w:hyperlink r:id="rId10" w:tooltip="privind exproprierea pentru cauză de utilitate publică, necesară realizării unor obiective de interes naţional, judeţean şi local (act publicat in M.Of. 853 din 20-dec-2010)" w:history="1">
              <w:r w:rsidRPr="005F1FAF">
                <w:rPr>
                  <w:sz w:val="24"/>
                </w:rPr>
                <w:t>255/2010</w:t>
              </w:r>
            </w:hyperlink>
            <w:r w:rsidRPr="005F1FAF">
              <w:rPr>
                <w:bCs/>
                <w:sz w:val="24"/>
              </w:rPr>
              <w:t xml:space="preserve"> privind exproprierea pentru cauză de utilitate publică, necesară realizării unor obiective de interes </w:t>
            </w:r>
            <w:r w:rsidR="0015501E" w:rsidRPr="005F1FAF">
              <w:rPr>
                <w:bCs/>
                <w:sz w:val="24"/>
              </w:rPr>
              <w:t>național</w:t>
            </w:r>
            <w:r w:rsidRPr="005F1FAF">
              <w:rPr>
                <w:bCs/>
                <w:sz w:val="24"/>
              </w:rPr>
              <w:t xml:space="preserve">, </w:t>
            </w:r>
            <w:r w:rsidR="0015501E" w:rsidRPr="005F1FAF">
              <w:rPr>
                <w:bCs/>
                <w:sz w:val="24"/>
              </w:rPr>
              <w:t>județean</w:t>
            </w:r>
            <w:r w:rsidRPr="005F1FAF">
              <w:rPr>
                <w:bCs/>
                <w:sz w:val="24"/>
              </w:rPr>
              <w:t xml:space="preserve"> și local, cu modificările și completările ulterioare</w:t>
            </w:r>
            <w:r w:rsidR="00BD743F" w:rsidRPr="005F1FAF">
              <w:rPr>
                <w:bCs/>
                <w:sz w:val="24"/>
              </w:rPr>
              <w:t>,</w:t>
            </w:r>
            <w:r w:rsidRPr="005F1FAF">
              <w:rPr>
                <w:bCs/>
                <w:sz w:val="24"/>
              </w:rPr>
              <w:t xml:space="preserve"> coroborat cu prevederile Deciziei nr. 380/2015 a Curții Constituționale, a fost întocmit și </w:t>
            </w:r>
            <w:r w:rsidRPr="005F1FAF">
              <w:rPr>
                <w:sz w:val="24"/>
              </w:rPr>
              <w:t>cel de-al doilea raport de evaluare.</w:t>
            </w:r>
          </w:p>
          <w:p w:rsidR="0015501E" w:rsidRPr="005F1FAF" w:rsidRDefault="0015501E" w:rsidP="00B0425D">
            <w:pPr>
              <w:jc w:val="both"/>
              <w:rPr>
                <w:sz w:val="16"/>
                <w:szCs w:val="16"/>
              </w:rPr>
            </w:pPr>
          </w:p>
          <w:p w:rsidR="00DC28D9" w:rsidRPr="005F1FAF" w:rsidRDefault="00DC28D9" w:rsidP="00B0425D">
            <w:pPr>
              <w:jc w:val="both"/>
              <w:rPr>
                <w:b/>
                <w:sz w:val="24"/>
              </w:rPr>
            </w:pPr>
            <w:r w:rsidRPr="005F1FAF">
              <w:rPr>
                <w:bCs/>
                <w:sz w:val="24"/>
              </w:rPr>
              <w:t xml:space="preserve">Imobilele cuprinse în anexa nr. 2 la Hotărârea Guvernului nr. </w:t>
            </w:r>
            <w:r w:rsidR="005B4EED" w:rsidRPr="005F1FAF">
              <w:rPr>
                <w:bCs/>
                <w:sz w:val="24"/>
              </w:rPr>
              <w:t>499/2010</w:t>
            </w:r>
            <w:r w:rsidR="0015501E" w:rsidRPr="005F1FAF">
              <w:rPr>
                <w:bCs/>
                <w:sz w:val="24"/>
              </w:rPr>
              <w:t>, cu modificările și completările ulterioare,</w:t>
            </w:r>
            <w:r w:rsidRPr="005F1FAF">
              <w:rPr>
                <w:bCs/>
                <w:sz w:val="24"/>
              </w:rPr>
              <w:t xml:space="preserve"> ale căror date de identificare, suprafețe afectate și valori de despăgubire necesită a fi actualizate după întocmirea documentațiilor cadastrale sunt următoarele:</w:t>
            </w:r>
            <w:r w:rsidRPr="005F1FAF">
              <w:rPr>
                <w:bCs/>
                <w:color w:val="000000"/>
                <w:sz w:val="24"/>
              </w:rPr>
              <w:t xml:space="preserve"> </w:t>
            </w:r>
            <w:r w:rsidRPr="005F1FAF">
              <w:rPr>
                <w:bCs/>
                <w:sz w:val="24"/>
              </w:rPr>
              <w:t>pozițiile nr. crt.</w:t>
            </w:r>
            <w:r w:rsidR="00284708" w:rsidRPr="005F1FAF">
              <w:rPr>
                <w:bCs/>
                <w:sz w:val="24"/>
              </w:rPr>
              <w:t xml:space="preserve"> </w:t>
            </w:r>
            <w:r w:rsidR="005B4EED" w:rsidRPr="005F1FAF">
              <w:rPr>
                <w:b/>
                <w:sz w:val="24"/>
              </w:rPr>
              <w:t>1, 2, 3, 48, 50, 56</w:t>
            </w:r>
            <w:r w:rsidR="00707411" w:rsidRPr="005F1FAF">
              <w:rPr>
                <w:b/>
                <w:sz w:val="24"/>
              </w:rPr>
              <w:t>, 67</w:t>
            </w:r>
            <w:r w:rsidR="005B4EED" w:rsidRPr="005F1FAF">
              <w:rPr>
                <w:b/>
                <w:sz w:val="24"/>
              </w:rPr>
              <w:t xml:space="preserve">, 81, 88, </w:t>
            </w:r>
            <w:r w:rsidR="00F76895" w:rsidRPr="005F1FAF">
              <w:rPr>
                <w:b/>
                <w:sz w:val="24"/>
              </w:rPr>
              <w:t xml:space="preserve">89, </w:t>
            </w:r>
            <w:r w:rsidR="005B4EED" w:rsidRPr="005F1FAF">
              <w:rPr>
                <w:b/>
                <w:sz w:val="24"/>
              </w:rPr>
              <w:t>91, 92, 93</w:t>
            </w:r>
            <w:r w:rsidR="00707411" w:rsidRPr="005F1FAF">
              <w:rPr>
                <w:b/>
                <w:sz w:val="24"/>
              </w:rPr>
              <w:t xml:space="preserve">, 95, 97, 100, 101, 110, 111, </w:t>
            </w:r>
            <w:r w:rsidR="00F76895" w:rsidRPr="005F1FAF">
              <w:rPr>
                <w:b/>
                <w:sz w:val="24"/>
              </w:rPr>
              <w:t xml:space="preserve">114, </w:t>
            </w:r>
            <w:r w:rsidR="005B4EED" w:rsidRPr="005F1FAF">
              <w:rPr>
                <w:b/>
                <w:sz w:val="24"/>
              </w:rPr>
              <w:t xml:space="preserve">117, 118, 125, 126, 132, 147, 149, 150, 151, 152, 155, </w:t>
            </w:r>
            <w:r w:rsidR="00F76895" w:rsidRPr="005F1FAF">
              <w:rPr>
                <w:b/>
                <w:sz w:val="24"/>
              </w:rPr>
              <w:t xml:space="preserve">159, </w:t>
            </w:r>
            <w:r w:rsidR="00707411" w:rsidRPr="005F1FAF">
              <w:rPr>
                <w:b/>
                <w:sz w:val="24"/>
              </w:rPr>
              <w:t>160</w:t>
            </w:r>
            <w:r w:rsidR="005B4EED" w:rsidRPr="005F1FAF">
              <w:rPr>
                <w:b/>
                <w:sz w:val="24"/>
              </w:rPr>
              <w:t>, 162</w:t>
            </w:r>
            <w:r w:rsidR="00284708" w:rsidRPr="005F1FAF">
              <w:rPr>
                <w:b/>
                <w:sz w:val="24"/>
              </w:rPr>
              <w:t xml:space="preserve">, </w:t>
            </w:r>
            <w:r w:rsidR="005B4EED" w:rsidRPr="005F1FAF">
              <w:rPr>
                <w:b/>
                <w:sz w:val="24"/>
              </w:rPr>
              <w:t xml:space="preserve">188, </w:t>
            </w:r>
            <w:r w:rsidR="00707411" w:rsidRPr="005F1FAF">
              <w:rPr>
                <w:b/>
                <w:sz w:val="24"/>
              </w:rPr>
              <w:t>200</w:t>
            </w:r>
            <w:r w:rsidR="00284708" w:rsidRPr="005F1FAF">
              <w:rPr>
                <w:b/>
                <w:sz w:val="24"/>
              </w:rPr>
              <w:t xml:space="preserve">, </w:t>
            </w:r>
            <w:r w:rsidR="005B4EED" w:rsidRPr="005F1FAF">
              <w:rPr>
                <w:b/>
                <w:sz w:val="24"/>
              </w:rPr>
              <w:t>211, 223 și 237</w:t>
            </w:r>
            <w:r w:rsidRPr="005F1FAF">
              <w:rPr>
                <w:b/>
                <w:sz w:val="24"/>
              </w:rPr>
              <w:t>.</w:t>
            </w:r>
          </w:p>
          <w:p w:rsidR="002450B7" w:rsidRPr="005F1FAF" w:rsidRDefault="00DC28D9" w:rsidP="00B0425D">
            <w:pPr>
              <w:jc w:val="both"/>
              <w:rPr>
                <w:b/>
                <w:color w:val="FF0000"/>
                <w:sz w:val="24"/>
                <w:szCs w:val="24"/>
                <w:lang w:val="en-US"/>
              </w:rPr>
            </w:pPr>
            <w:r w:rsidRPr="005F1FAF">
              <w:rPr>
                <w:sz w:val="24"/>
              </w:rPr>
              <w:t>Suma aferentă despăgubirii pentru imobilele menționate mai sus</w:t>
            </w:r>
            <w:r w:rsidR="00F01337" w:rsidRPr="005F1FAF">
              <w:rPr>
                <w:sz w:val="24"/>
              </w:rPr>
              <w:t xml:space="preserve"> </w:t>
            </w:r>
            <w:r w:rsidRPr="005F1FAF">
              <w:rPr>
                <w:sz w:val="24"/>
              </w:rPr>
              <w:t>conform</w:t>
            </w:r>
            <w:r w:rsidR="00F01337" w:rsidRPr="005F1FAF">
              <w:rPr>
                <w:sz w:val="24"/>
              </w:rPr>
              <w:t xml:space="preserve">, </w:t>
            </w:r>
            <w:r w:rsidRPr="005F1FAF">
              <w:rPr>
                <w:sz w:val="24"/>
              </w:rPr>
              <w:t xml:space="preserve"> Hotărârii Guvernului nr. </w:t>
            </w:r>
            <w:r w:rsidR="00284708" w:rsidRPr="005F1FAF">
              <w:rPr>
                <w:sz w:val="24"/>
              </w:rPr>
              <w:t>499/2010</w:t>
            </w:r>
            <w:r w:rsidR="00BD743F" w:rsidRPr="005F1FAF">
              <w:rPr>
                <w:sz w:val="24"/>
              </w:rPr>
              <w:t>,</w:t>
            </w:r>
            <w:r w:rsidRPr="005F1FAF">
              <w:rPr>
                <w:sz w:val="24"/>
              </w:rPr>
              <w:t xml:space="preserve"> </w:t>
            </w:r>
            <w:r w:rsidR="00D9337D" w:rsidRPr="005F1FAF">
              <w:rPr>
                <w:sz w:val="24"/>
              </w:rPr>
              <w:t xml:space="preserve">cu modificările și completările ulterioare, </w:t>
            </w:r>
            <w:r w:rsidRPr="005F1FAF">
              <w:rPr>
                <w:sz w:val="24"/>
              </w:rPr>
              <w:t>este de</w:t>
            </w:r>
            <w:r w:rsidRPr="005F1FAF">
              <w:rPr>
                <w:b/>
                <w:sz w:val="24"/>
              </w:rPr>
              <w:t xml:space="preserve"> </w:t>
            </w:r>
            <w:r w:rsidR="00707411" w:rsidRPr="005F1FAF">
              <w:rPr>
                <w:sz w:val="24"/>
                <w:szCs w:val="24"/>
                <w:lang w:val="en-US"/>
              </w:rPr>
              <w:t>5.613.274,71 lei.</w:t>
            </w:r>
          </w:p>
          <w:p w:rsidR="00FB3E1B" w:rsidRPr="005F1FAF" w:rsidRDefault="00DC28D9" w:rsidP="00B0425D">
            <w:pPr>
              <w:jc w:val="both"/>
              <w:rPr>
                <w:sz w:val="24"/>
                <w:szCs w:val="24"/>
                <w:lang w:val="en-US"/>
              </w:rPr>
            </w:pPr>
            <w:r w:rsidRPr="005F1FAF">
              <w:rPr>
                <w:sz w:val="24"/>
              </w:rPr>
              <w:t xml:space="preserve">Ca urmare a realizării documentațiilor cadastrale și a celui de al doilea raport de evaluare pentru </w:t>
            </w:r>
            <w:r w:rsidR="00707411" w:rsidRPr="005F1FAF">
              <w:rPr>
                <w:sz w:val="24"/>
              </w:rPr>
              <w:t>cele 39</w:t>
            </w:r>
            <w:r w:rsidRPr="005F1FAF">
              <w:rPr>
                <w:sz w:val="24"/>
              </w:rPr>
              <w:t xml:space="preserve"> imobile, în conformitate cu prevederile art. 11 alin. (7) </w:t>
            </w:r>
            <w:r w:rsidRPr="005F1FAF">
              <w:rPr>
                <w:sz w:val="24"/>
              </w:rPr>
              <w:lastRenderedPageBreak/>
              <w:t>din Legea nr. 255/2010, cu modificările și completările ulterioare, rezultă o valoare de despăgubire pentru imobilele menționate mai sus de</w:t>
            </w:r>
            <w:r w:rsidR="0030115B" w:rsidRPr="005F1FAF">
              <w:rPr>
                <w:sz w:val="24"/>
              </w:rPr>
              <w:t xml:space="preserve"> </w:t>
            </w:r>
            <w:r w:rsidR="00707411" w:rsidRPr="005F1FAF">
              <w:rPr>
                <w:sz w:val="24"/>
                <w:szCs w:val="24"/>
                <w:lang w:val="en-US"/>
              </w:rPr>
              <w:t>6.414.114,35 lei</w:t>
            </w:r>
            <w:r w:rsidR="00FB3E1B" w:rsidRPr="005F1FAF">
              <w:rPr>
                <w:sz w:val="24"/>
                <w:szCs w:val="24"/>
                <w:lang w:val="en-US"/>
              </w:rPr>
              <w:t>.</w:t>
            </w:r>
          </w:p>
          <w:p w:rsidR="00284708" w:rsidRPr="005F1FAF" w:rsidRDefault="00284708" w:rsidP="00B0425D">
            <w:pPr>
              <w:jc w:val="both"/>
              <w:rPr>
                <w:sz w:val="16"/>
                <w:szCs w:val="16"/>
              </w:rPr>
            </w:pPr>
          </w:p>
          <w:tbl>
            <w:tblPr>
              <w:tblW w:w="753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00"/>
              <w:gridCol w:w="1350"/>
              <w:gridCol w:w="1590"/>
              <w:gridCol w:w="2280"/>
              <w:gridCol w:w="1710"/>
            </w:tblGrid>
            <w:tr w:rsidR="00632702" w:rsidRPr="005F1FAF" w:rsidTr="0030115B">
              <w:trPr>
                <w:trHeight w:val="2545"/>
                <w:jc w:val="center"/>
              </w:trPr>
              <w:tc>
                <w:tcPr>
                  <w:tcW w:w="600" w:type="dxa"/>
                </w:tcPr>
                <w:p w:rsidR="00632702" w:rsidRPr="005F1FAF" w:rsidRDefault="00632702" w:rsidP="00B0425D">
                  <w:pPr>
                    <w:jc w:val="center"/>
                    <w:rPr>
                      <w:color w:val="000000"/>
                      <w:sz w:val="20"/>
                      <w:szCs w:val="20"/>
                    </w:rPr>
                  </w:pPr>
                </w:p>
                <w:p w:rsidR="00632702" w:rsidRPr="005F1FAF" w:rsidRDefault="00632702" w:rsidP="00B0425D">
                  <w:pPr>
                    <w:jc w:val="center"/>
                    <w:rPr>
                      <w:color w:val="000000"/>
                      <w:sz w:val="20"/>
                      <w:szCs w:val="20"/>
                    </w:rPr>
                  </w:pPr>
                </w:p>
                <w:p w:rsidR="00632702" w:rsidRPr="005F1FAF" w:rsidRDefault="00632702" w:rsidP="00B0425D">
                  <w:pPr>
                    <w:jc w:val="center"/>
                    <w:rPr>
                      <w:color w:val="000000"/>
                      <w:sz w:val="20"/>
                      <w:szCs w:val="20"/>
                    </w:rPr>
                  </w:pPr>
                </w:p>
                <w:p w:rsidR="00632702" w:rsidRPr="005F1FAF" w:rsidRDefault="00632702" w:rsidP="00B0425D">
                  <w:pPr>
                    <w:jc w:val="center"/>
                    <w:rPr>
                      <w:color w:val="000000"/>
                      <w:sz w:val="20"/>
                      <w:szCs w:val="20"/>
                    </w:rPr>
                  </w:pPr>
                </w:p>
                <w:p w:rsidR="00632702" w:rsidRPr="005F1FAF" w:rsidRDefault="00632702" w:rsidP="00B0425D">
                  <w:pPr>
                    <w:jc w:val="center"/>
                    <w:rPr>
                      <w:color w:val="000000"/>
                      <w:sz w:val="20"/>
                      <w:szCs w:val="20"/>
                    </w:rPr>
                  </w:pPr>
                </w:p>
                <w:p w:rsidR="00632702" w:rsidRPr="005F1FAF" w:rsidRDefault="00632702" w:rsidP="00B0425D">
                  <w:pPr>
                    <w:jc w:val="center"/>
                    <w:rPr>
                      <w:color w:val="000000"/>
                      <w:sz w:val="20"/>
                      <w:szCs w:val="20"/>
                    </w:rPr>
                  </w:pPr>
                </w:p>
                <w:p w:rsidR="00632702" w:rsidRPr="005F1FAF" w:rsidRDefault="00632702" w:rsidP="00B0425D">
                  <w:pPr>
                    <w:jc w:val="center"/>
                    <w:rPr>
                      <w:color w:val="000000"/>
                      <w:sz w:val="20"/>
                      <w:szCs w:val="20"/>
                    </w:rPr>
                  </w:pPr>
                </w:p>
                <w:p w:rsidR="0030115B" w:rsidRPr="005F1FAF" w:rsidRDefault="00632702" w:rsidP="00B0425D">
                  <w:pPr>
                    <w:jc w:val="center"/>
                    <w:rPr>
                      <w:color w:val="000000"/>
                      <w:sz w:val="20"/>
                      <w:szCs w:val="20"/>
                    </w:rPr>
                  </w:pPr>
                  <w:r w:rsidRPr="005F1FAF">
                    <w:rPr>
                      <w:color w:val="000000"/>
                      <w:sz w:val="20"/>
                      <w:szCs w:val="20"/>
                    </w:rPr>
                    <w:t xml:space="preserve">Nr. crt. </w:t>
                  </w:r>
                </w:p>
                <w:p w:rsidR="0030115B" w:rsidRPr="005F1FAF" w:rsidRDefault="0030115B" w:rsidP="00B0425D">
                  <w:pPr>
                    <w:rPr>
                      <w:sz w:val="20"/>
                      <w:szCs w:val="20"/>
                    </w:rPr>
                  </w:pPr>
                </w:p>
                <w:p w:rsidR="0030115B" w:rsidRPr="005F1FAF" w:rsidRDefault="0030115B" w:rsidP="00B0425D">
                  <w:pPr>
                    <w:rPr>
                      <w:sz w:val="20"/>
                      <w:szCs w:val="20"/>
                    </w:rPr>
                  </w:pPr>
                </w:p>
                <w:p w:rsidR="0030115B" w:rsidRPr="005F1FAF" w:rsidRDefault="0030115B" w:rsidP="00B0425D">
                  <w:pPr>
                    <w:rPr>
                      <w:sz w:val="20"/>
                      <w:szCs w:val="20"/>
                    </w:rPr>
                  </w:pPr>
                </w:p>
                <w:p w:rsidR="0030115B" w:rsidRPr="005F1FAF" w:rsidRDefault="0030115B" w:rsidP="00B0425D">
                  <w:pPr>
                    <w:rPr>
                      <w:sz w:val="20"/>
                      <w:szCs w:val="20"/>
                    </w:rPr>
                  </w:pPr>
                </w:p>
                <w:p w:rsidR="00632702" w:rsidRPr="005F1FAF" w:rsidRDefault="00632702" w:rsidP="00B0425D">
                  <w:pPr>
                    <w:rPr>
                      <w:sz w:val="20"/>
                      <w:szCs w:val="20"/>
                    </w:rPr>
                  </w:pPr>
                </w:p>
              </w:tc>
              <w:tc>
                <w:tcPr>
                  <w:tcW w:w="1350" w:type="dxa"/>
                  <w:shd w:val="clear" w:color="auto" w:fill="auto"/>
                  <w:vAlign w:val="center"/>
                  <w:hideMark/>
                </w:tcPr>
                <w:p w:rsidR="00632702" w:rsidRPr="005F1FAF" w:rsidRDefault="00632702" w:rsidP="00B0425D">
                  <w:pPr>
                    <w:jc w:val="center"/>
                    <w:rPr>
                      <w:sz w:val="24"/>
                      <w:szCs w:val="24"/>
                      <w:lang w:val="en-US"/>
                    </w:rPr>
                  </w:pPr>
                  <w:r w:rsidRPr="005F1FAF">
                    <w:rPr>
                      <w:color w:val="000000"/>
                      <w:sz w:val="20"/>
                      <w:szCs w:val="20"/>
                    </w:rPr>
                    <w:t>Nr. crt. din Anexa nr. 2 la H.G. nr. 499/2010</w:t>
                  </w:r>
                  <w:r w:rsidR="00BD743F" w:rsidRPr="005F1FAF">
                    <w:rPr>
                      <w:color w:val="000000"/>
                      <w:sz w:val="20"/>
                      <w:szCs w:val="20"/>
                    </w:rPr>
                    <w:t>,</w:t>
                  </w:r>
                  <w:r w:rsidRPr="005F1FAF">
                    <w:rPr>
                      <w:color w:val="000000"/>
                      <w:sz w:val="20"/>
                      <w:szCs w:val="20"/>
                    </w:rPr>
                    <w:t xml:space="preserve"> cu modificările și completările ulterioare</w:t>
                  </w:r>
                </w:p>
              </w:tc>
              <w:tc>
                <w:tcPr>
                  <w:tcW w:w="1590" w:type="dxa"/>
                  <w:shd w:val="clear" w:color="auto" w:fill="auto"/>
                  <w:vAlign w:val="center"/>
                  <w:hideMark/>
                </w:tcPr>
                <w:p w:rsidR="00632702" w:rsidRPr="005F1FAF" w:rsidRDefault="00632702" w:rsidP="00B0425D">
                  <w:pPr>
                    <w:jc w:val="center"/>
                    <w:rPr>
                      <w:sz w:val="24"/>
                      <w:szCs w:val="24"/>
                      <w:lang w:val="en-US"/>
                    </w:rPr>
                  </w:pPr>
                  <w:r w:rsidRPr="005F1FAF">
                    <w:rPr>
                      <w:color w:val="000000"/>
                      <w:sz w:val="20"/>
                      <w:szCs w:val="20"/>
                    </w:rPr>
                    <w:t>Despăgubiri conform H.G. nr. 499/2010</w:t>
                  </w:r>
                  <w:r w:rsidR="00BD743F" w:rsidRPr="005F1FAF">
                    <w:rPr>
                      <w:color w:val="000000"/>
                      <w:sz w:val="20"/>
                      <w:szCs w:val="20"/>
                    </w:rPr>
                    <w:t>,</w:t>
                  </w:r>
                  <w:r w:rsidRPr="005F1FAF">
                    <w:rPr>
                      <w:color w:val="000000"/>
                      <w:sz w:val="20"/>
                      <w:szCs w:val="20"/>
                    </w:rPr>
                    <w:t xml:space="preserve"> cu modificările și completările ulterioare</w:t>
                  </w:r>
                </w:p>
              </w:tc>
              <w:tc>
                <w:tcPr>
                  <w:tcW w:w="2280" w:type="dxa"/>
                  <w:shd w:val="clear" w:color="auto" w:fill="auto"/>
                  <w:vAlign w:val="center"/>
                  <w:hideMark/>
                </w:tcPr>
                <w:p w:rsidR="00632702" w:rsidRPr="005F1FAF" w:rsidRDefault="00632702" w:rsidP="00B0425D">
                  <w:pPr>
                    <w:jc w:val="center"/>
                    <w:rPr>
                      <w:sz w:val="24"/>
                      <w:szCs w:val="24"/>
                      <w:lang w:val="en-US"/>
                    </w:rPr>
                  </w:pPr>
                  <w:r w:rsidRPr="005F1FAF">
                    <w:rPr>
                      <w:color w:val="000000"/>
                      <w:sz w:val="20"/>
                      <w:szCs w:val="20"/>
                    </w:rPr>
                    <w:t>Despăgubiri actualizate după întocmirea raportului de evaluare în conformitate cu art. 11 alin. (7) din Legea nr. 255/2010</w:t>
                  </w:r>
                </w:p>
              </w:tc>
              <w:tc>
                <w:tcPr>
                  <w:tcW w:w="1710" w:type="dxa"/>
                  <w:shd w:val="clear" w:color="auto" w:fill="auto"/>
                  <w:vAlign w:val="center"/>
                  <w:hideMark/>
                </w:tcPr>
                <w:p w:rsidR="00632702" w:rsidRPr="005F1FAF" w:rsidRDefault="00632702" w:rsidP="00B0425D">
                  <w:pPr>
                    <w:jc w:val="center"/>
                    <w:rPr>
                      <w:sz w:val="24"/>
                      <w:szCs w:val="24"/>
                      <w:lang w:val="en-US"/>
                    </w:rPr>
                  </w:pPr>
                  <w:r w:rsidRPr="005F1FAF">
                    <w:rPr>
                      <w:color w:val="000000"/>
                      <w:sz w:val="20"/>
                      <w:szCs w:val="20"/>
                    </w:rPr>
                    <w:t>Diferența între despăgubirile conform raportului de evaluare întocmit în conformitate cu art. 11 alin. (7) din Legea nr. 255/2010 și despăgubirile conform H.G. nr. 499/2010</w:t>
                  </w:r>
                  <w:r w:rsidR="00BD743F" w:rsidRPr="005F1FAF">
                    <w:rPr>
                      <w:color w:val="000000"/>
                      <w:sz w:val="20"/>
                      <w:szCs w:val="20"/>
                    </w:rPr>
                    <w:t>,</w:t>
                  </w:r>
                  <w:r w:rsidRPr="005F1FAF">
                    <w:rPr>
                      <w:color w:val="000000"/>
                      <w:sz w:val="20"/>
                      <w:szCs w:val="20"/>
                    </w:rPr>
                    <w:t xml:space="preserve"> cu modificările și completările ulterioare</w:t>
                  </w:r>
                </w:p>
              </w:tc>
            </w:tr>
            <w:tr w:rsidR="00632702" w:rsidRPr="005F1FAF" w:rsidTr="0030115B">
              <w:trPr>
                <w:trHeight w:val="315"/>
                <w:jc w:val="center"/>
              </w:trPr>
              <w:tc>
                <w:tcPr>
                  <w:tcW w:w="600" w:type="dxa"/>
                  <w:shd w:val="clear" w:color="000000" w:fill="FFFFFF"/>
                </w:tcPr>
                <w:p w:rsidR="00632702" w:rsidRPr="005F1FAF" w:rsidRDefault="00DE00E8" w:rsidP="00B0425D">
                  <w:pPr>
                    <w:jc w:val="center"/>
                    <w:rPr>
                      <w:sz w:val="24"/>
                      <w:szCs w:val="24"/>
                      <w:lang w:val="en-US"/>
                    </w:rPr>
                  </w:pPr>
                  <w:r w:rsidRPr="005F1FAF">
                    <w:rPr>
                      <w:sz w:val="24"/>
                      <w:szCs w:val="24"/>
                      <w:lang w:val="en-US"/>
                    </w:rPr>
                    <w:t>1</w:t>
                  </w:r>
                </w:p>
              </w:tc>
              <w:tc>
                <w:tcPr>
                  <w:tcW w:w="1350" w:type="dxa"/>
                  <w:shd w:val="clear" w:color="000000" w:fill="FFFFFF"/>
                  <w:vAlign w:val="center"/>
                  <w:hideMark/>
                </w:tcPr>
                <w:p w:rsidR="00632702" w:rsidRPr="005F1FAF" w:rsidRDefault="00632702" w:rsidP="00B0425D">
                  <w:pPr>
                    <w:jc w:val="center"/>
                    <w:rPr>
                      <w:sz w:val="24"/>
                      <w:szCs w:val="24"/>
                      <w:lang w:val="en-US"/>
                    </w:rPr>
                  </w:pPr>
                  <w:r w:rsidRPr="005F1FAF">
                    <w:rPr>
                      <w:sz w:val="24"/>
                      <w:szCs w:val="24"/>
                      <w:lang w:val="en-US"/>
                    </w:rPr>
                    <w:t>1</w:t>
                  </w:r>
                </w:p>
              </w:tc>
              <w:tc>
                <w:tcPr>
                  <w:tcW w:w="1590" w:type="dxa"/>
                  <w:shd w:val="clear" w:color="auto" w:fill="auto"/>
                  <w:vAlign w:val="center"/>
                  <w:hideMark/>
                </w:tcPr>
                <w:p w:rsidR="00632702" w:rsidRPr="005F1FAF" w:rsidRDefault="00632702" w:rsidP="00B0425D">
                  <w:pPr>
                    <w:jc w:val="center"/>
                    <w:rPr>
                      <w:sz w:val="24"/>
                      <w:szCs w:val="24"/>
                      <w:lang w:val="en-US"/>
                    </w:rPr>
                  </w:pPr>
                  <w:r w:rsidRPr="005F1FAF">
                    <w:rPr>
                      <w:sz w:val="24"/>
                      <w:szCs w:val="24"/>
                      <w:lang w:val="en-US"/>
                    </w:rPr>
                    <w:t>51.743,14</w:t>
                  </w:r>
                </w:p>
              </w:tc>
              <w:tc>
                <w:tcPr>
                  <w:tcW w:w="2280" w:type="dxa"/>
                  <w:shd w:val="clear" w:color="auto" w:fill="auto"/>
                  <w:vAlign w:val="center"/>
                  <w:hideMark/>
                </w:tcPr>
                <w:p w:rsidR="00632702" w:rsidRPr="005F1FAF" w:rsidRDefault="00632702" w:rsidP="00B0425D">
                  <w:pPr>
                    <w:jc w:val="center"/>
                    <w:rPr>
                      <w:sz w:val="24"/>
                      <w:szCs w:val="24"/>
                      <w:lang w:val="en-US"/>
                    </w:rPr>
                  </w:pPr>
                  <w:r w:rsidRPr="005F1FAF">
                    <w:rPr>
                      <w:sz w:val="24"/>
                      <w:szCs w:val="24"/>
                      <w:lang w:val="en-US"/>
                    </w:rPr>
                    <w:t>54.061,81</w:t>
                  </w:r>
                </w:p>
              </w:tc>
              <w:tc>
                <w:tcPr>
                  <w:tcW w:w="1710" w:type="dxa"/>
                  <w:shd w:val="clear" w:color="auto" w:fill="auto"/>
                  <w:noWrap/>
                  <w:vAlign w:val="bottom"/>
                  <w:hideMark/>
                </w:tcPr>
                <w:p w:rsidR="00632702" w:rsidRPr="005F1FAF" w:rsidRDefault="00632702" w:rsidP="00B0425D">
                  <w:pPr>
                    <w:jc w:val="right"/>
                    <w:rPr>
                      <w:sz w:val="24"/>
                      <w:szCs w:val="24"/>
                      <w:lang w:val="en-US"/>
                    </w:rPr>
                  </w:pPr>
                  <w:r w:rsidRPr="005F1FAF">
                    <w:rPr>
                      <w:sz w:val="24"/>
                      <w:szCs w:val="24"/>
                      <w:lang w:val="en-US"/>
                    </w:rPr>
                    <w:t>-2.318,67</w:t>
                  </w:r>
                </w:p>
              </w:tc>
            </w:tr>
            <w:tr w:rsidR="00632702" w:rsidRPr="005F1FAF" w:rsidTr="0030115B">
              <w:trPr>
                <w:trHeight w:val="300"/>
                <w:jc w:val="center"/>
              </w:trPr>
              <w:tc>
                <w:tcPr>
                  <w:tcW w:w="600" w:type="dxa"/>
                  <w:shd w:val="clear" w:color="000000" w:fill="FFFFFF"/>
                </w:tcPr>
                <w:p w:rsidR="00632702" w:rsidRPr="005F1FAF" w:rsidRDefault="00DE00E8" w:rsidP="00B0425D">
                  <w:pPr>
                    <w:jc w:val="center"/>
                    <w:rPr>
                      <w:sz w:val="24"/>
                      <w:szCs w:val="24"/>
                      <w:lang w:val="en-US"/>
                    </w:rPr>
                  </w:pPr>
                  <w:r w:rsidRPr="005F1FAF">
                    <w:rPr>
                      <w:sz w:val="24"/>
                      <w:szCs w:val="24"/>
                      <w:lang w:val="en-US"/>
                    </w:rPr>
                    <w:t>2</w:t>
                  </w:r>
                </w:p>
              </w:tc>
              <w:tc>
                <w:tcPr>
                  <w:tcW w:w="1350" w:type="dxa"/>
                  <w:shd w:val="clear" w:color="000000" w:fill="FFFFFF"/>
                  <w:vAlign w:val="center"/>
                  <w:hideMark/>
                </w:tcPr>
                <w:p w:rsidR="00632702" w:rsidRPr="005F1FAF" w:rsidRDefault="00632702" w:rsidP="00B0425D">
                  <w:pPr>
                    <w:jc w:val="center"/>
                    <w:rPr>
                      <w:sz w:val="24"/>
                      <w:szCs w:val="24"/>
                      <w:lang w:val="en-US"/>
                    </w:rPr>
                  </w:pPr>
                  <w:r w:rsidRPr="005F1FAF">
                    <w:rPr>
                      <w:sz w:val="24"/>
                      <w:szCs w:val="24"/>
                      <w:lang w:val="en-US"/>
                    </w:rPr>
                    <w:t>2</w:t>
                  </w:r>
                </w:p>
              </w:tc>
              <w:tc>
                <w:tcPr>
                  <w:tcW w:w="1590" w:type="dxa"/>
                  <w:shd w:val="clear" w:color="auto" w:fill="auto"/>
                  <w:vAlign w:val="center"/>
                  <w:hideMark/>
                </w:tcPr>
                <w:p w:rsidR="00632702" w:rsidRPr="005F1FAF" w:rsidRDefault="00632702" w:rsidP="00B0425D">
                  <w:pPr>
                    <w:jc w:val="center"/>
                    <w:rPr>
                      <w:sz w:val="24"/>
                      <w:szCs w:val="24"/>
                      <w:lang w:val="en-US"/>
                    </w:rPr>
                  </w:pPr>
                  <w:r w:rsidRPr="005F1FAF">
                    <w:rPr>
                      <w:sz w:val="24"/>
                      <w:szCs w:val="24"/>
                      <w:lang w:val="en-US"/>
                    </w:rPr>
                    <w:t>1.767,12</w:t>
                  </w:r>
                </w:p>
              </w:tc>
              <w:tc>
                <w:tcPr>
                  <w:tcW w:w="2280" w:type="dxa"/>
                  <w:shd w:val="clear" w:color="auto" w:fill="auto"/>
                  <w:vAlign w:val="center"/>
                  <w:hideMark/>
                </w:tcPr>
                <w:p w:rsidR="00632702" w:rsidRPr="005F1FAF" w:rsidRDefault="00632702" w:rsidP="00B0425D">
                  <w:pPr>
                    <w:jc w:val="center"/>
                    <w:rPr>
                      <w:sz w:val="24"/>
                      <w:szCs w:val="24"/>
                      <w:lang w:val="en-US"/>
                    </w:rPr>
                  </w:pPr>
                  <w:r w:rsidRPr="005F1FAF">
                    <w:rPr>
                      <w:sz w:val="24"/>
                      <w:szCs w:val="24"/>
                      <w:lang w:val="en-US"/>
                    </w:rPr>
                    <w:t>1.798,58</w:t>
                  </w:r>
                </w:p>
              </w:tc>
              <w:tc>
                <w:tcPr>
                  <w:tcW w:w="1710" w:type="dxa"/>
                  <w:shd w:val="clear" w:color="auto" w:fill="auto"/>
                  <w:noWrap/>
                  <w:vAlign w:val="bottom"/>
                  <w:hideMark/>
                </w:tcPr>
                <w:p w:rsidR="00632702" w:rsidRPr="005F1FAF" w:rsidRDefault="00632702" w:rsidP="00B0425D">
                  <w:pPr>
                    <w:jc w:val="right"/>
                    <w:rPr>
                      <w:sz w:val="24"/>
                      <w:szCs w:val="24"/>
                      <w:lang w:val="en-US"/>
                    </w:rPr>
                  </w:pPr>
                  <w:r w:rsidRPr="005F1FAF">
                    <w:rPr>
                      <w:sz w:val="24"/>
                      <w:szCs w:val="24"/>
                      <w:lang w:val="en-US"/>
                    </w:rPr>
                    <w:t>-31,46</w:t>
                  </w:r>
                </w:p>
              </w:tc>
            </w:tr>
            <w:tr w:rsidR="00632702" w:rsidRPr="005F1FAF" w:rsidTr="0030115B">
              <w:trPr>
                <w:trHeight w:val="300"/>
                <w:jc w:val="center"/>
              </w:trPr>
              <w:tc>
                <w:tcPr>
                  <w:tcW w:w="600" w:type="dxa"/>
                  <w:shd w:val="clear" w:color="000000" w:fill="FFFFFF"/>
                </w:tcPr>
                <w:p w:rsidR="00632702" w:rsidRPr="005F1FAF" w:rsidRDefault="00DE00E8" w:rsidP="00B0425D">
                  <w:pPr>
                    <w:jc w:val="center"/>
                    <w:rPr>
                      <w:sz w:val="24"/>
                      <w:szCs w:val="24"/>
                      <w:lang w:val="en-US"/>
                    </w:rPr>
                  </w:pPr>
                  <w:r w:rsidRPr="005F1FAF">
                    <w:rPr>
                      <w:sz w:val="24"/>
                      <w:szCs w:val="24"/>
                      <w:lang w:val="en-US"/>
                    </w:rPr>
                    <w:t>3</w:t>
                  </w:r>
                </w:p>
              </w:tc>
              <w:tc>
                <w:tcPr>
                  <w:tcW w:w="1350" w:type="dxa"/>
                  <w:shd w:val="clear" w:color="000000" w:fill="FFFFFF"/>
                  <w:vAlign w:val="center"/>
                  <w:hideMark/>
                </w:tcPr>
                <w:p w:rsidR="00632702" w:rsidRPr="005F1FAF" w:rsidRDefault="00632702" w:rsidP="00B0425D">
                  <w:pPr>
                    <w:jc w:val="center"/>
                    <w:rPr>
                      <w:sz w:val="24"/>
                      <w:szCs w:val="24"/>
                      <w:lang w:val="en-US"/>
                    </w:rPr>
                  </w:pPr>
                  <w:r w:rsidRPr="005F1FAF">
                    <w:rPr>
                      <w:sz w:val="24"/>
                      <w:szCs w:val="24"/>
                      <w:lang w:val="en-US"/>
                    </w:rPr>
                    <w:t>3</w:t>
                  </w:r>
                </w:p>
              </w:tc>
              <w:tc>
                <w:tcPr>
                  <w:tcW w:w="1590" w:type="dxa"/>
                  <w:shd w:val="clear" w:color="auto" w:fill="auto"/>
                  <w:vAlign w:val="center"/>
                  <w:hideMark/>
                </w:tcPr>
                <w:p w:rsidR="00632702" w:rsidRPr="005F1FAF" w:rsidRDefault="00632702" w:rsidP="00B0425D">
                  <w:pPr>
                    <w:jc w:val="center"/>
                    <w:rPr>
                      <w:sz w:val="24"/>
                      <w:szCs w:val="24"/>
                      <w:lang w:val="en-US"/>
                    </w:rPr>
                  </w:pPr>
                  <w:r w:rsidRPr="005F1FAF">
                    <w:rPr>
                      <w:sz w:val="24"/>
                      <w:szCs w:val="24"/>
                      <w:lang w:val="en-US"/>
                    </w:rPr>
                    <w:t>355.681,55</w:t>
                  </w:r>
                </w:p>
              </w:tc>
              <w:tc>
                <w:tcPr>
                  <w:tcW w:w="2280" w:type="dxa"/>
                  <w:shd w:val="clear" w:color="auto" w:fill="auto"/>
                  <w:vAlign w:val="center"/>
                  <w:hideMark/>
                </w:tcPr>
                <w:p w:rsidR="00632702" w:rsidRPr="005F1FAF" w:rsidRDefault="00632702" w:rsidP="00B0425D">
                  <w:pPr>
                    <w:jc w:val="center"/>
                    <w:rPr>
                      <w:sz w:val="24"/>
                      <w:szCs w:val="24"/>
                      <w:lang w:val="en-US"/>
                    </w:rPr>
                  </w:pPr>
                  <w:r w:rsidRPr="005F1FAF">
                    <w:rPr>
                      <w:sz w:val="24"/>
                      <w:szCs w:val="24"/>
                      <w:lang w:val="en-US"/>
                    </w:rPr>
                    <w:t>375.849,78</w:t>
                  </w:r>
                </w:p>
              </w:tc>
              <w:tc>
                <w:tcPr>
                  <w:tcW w:w="1710" w:type="dxa"/>
                  <w:shd w:val="clear" w:color="auto" w:fill="auto"/>
                  <w:noWrap/>
                  <w:vAlign w:val="bottom"/>
                  <w:hideMark/>
                </w:tcPr>
                <w:p w:rsidR="00632702" w:rsidRPr="005F1FAF" w:rsidRDefault="00632702" w:rsidP="00B0425D">
                  <w:pPr>
                    <w:jc w:val="right"/>
                    <w:rPr>
                      <w:sz w:val="24"/>
                      <w:szCs w:val="24"/>
                      <w:lang w:val="en-US"/>
                    </w:rPr>
                  </w:pPr>
                  <w:r w:rsidRPr="005F1FAF">
                    <w:rPr>
                      <w:sz w:val="24"/>
                      <w:szCs w:val="24"/>
                      <w:lang w:val="en-US"/>
                    </w:rPr>
                    <w:t>-20.168,23</w:t>
                  </w:r>
                </w:p>
              </w:tc>
            </w:tr>
            <w:tr w:rsidR="00DE00E8" w:rsidRPr="005F1FAF" w:rsidTr="0030115B">
              <w:trPr>
                <w:trHeight w:val="359"/>
                <w:jc w:val="center"/>
              </w:trPr>
              <w:tc>
                <w:tcPr>
                  <w:tcW w:w="600" w:type="dxa"/>
                  <w:vMerge w:val="restart"/>
                  <w:shd w:val="clear" w:color="000000" w:fill="FFFFFF"/>
                  <w:vAlign w:val="center"/>
                </w:tcPr>
                <w:p w:rsidR="00DE00E8" w:rsidRPr="005F1FAF" w:rsidRDefault="00DE00E8" w:rsidP="00B0425D">
                  <w:pPr>
                    <w:jc w:val="center"/>
                    <w:rPr>
                      <w:sz w:val="24"/>
                      <w:szCs w:val="24"/>
                      <w:lang w:val="en-US"/>
                    </w:rPr>
                  </w:pPr>
                  <w:r w:rsidRPr="005F1FAF">
                    <w:rPr>
                      <w:sz w:val="24"/>
                      <w:szCs w:val="24"/>
                      <w:lang w:val="en-US"/>
                    </w:rPr>
                    <w:t>4</w:t>
                  </w:r>
                </w:p>
              </w:tc>
              <w:tc>
                <w:tcPr>
                  <w:tcW w:w="1350" w:type="dxa"/>
                  <w:shd w:val="clear" w:color="000000" w:fill="FFFFFF"/>
                  <w:vAlign w:val="center"/>
                  <w:hideMark/>
                </w:tcPr>
                <w:p w:rsidR="00DE00E8" w:rsidRPr="005F1FAF" w:rsidRDefault="00DE00E8" w:rsidP="00B0425D">
                  <w:pPr>
                    <w:jc w:val="center"/>
                    <w:rPr>
                      <w:sz w:val="24"/>
                      <w:szCs w:val="24"/>
                      <w:lang w:val="en-US"/>
                    </w:rPr>
                  </w:pPr>
                  <w:r w:rsidRPr="005F1FAF">
                    <w:rPr>
                      <w:sz w:val="24"/>
                      <w:szCs w:val="24"/>
                      <w:lang w:val="en-US"/>
                    </w:rPr>
                    <w:t>48</w:t>
                  </w:r>
                </w:p>
              </w:tc>
              <w:tc>
                <w:tcPr>
                  <w:tcW w:w="1590" w:type="dxa"/>
                  <w:shd w:val="clear" w:color="auto" w:fill="auto"/>
                  <w:vAlign w:val="center"/>
                  <w:hideMark/>
                </w:tcPr>
                <w:p w:rsidR="00DE00E8" w:rsidRPr="005F1FAF" w:rsidRDefault="00DE00E8" w:rsidP="00B0425D">
                  <w:pPr>
                    <w:jc w:val="center"/>
                    <w:rPr>
                      <w:sz w:val="24"/>
                      <w:szCs w:val="24"/>
                      <w:lang w:val="en-US"/>
                    </w:rPr>
                  </w:pPr>
                  <w:r w:rsidRPr="005F1FAF">
                    <w:rPr>
                      <w:color w:val="000000"/>
                      <w:sz w:val="24"/>
                      <w:szCs w:val="24"/>
                    </w:rPr>
                    <w:t>4.121,15</w:t>
                  </w:r>
                </w:p>
              </w:tc>
              <w:tc>
                <w:tcPr>
                  <w:tcW w:w="2280" w:type="dxa"/>
                  <w:vMerge w:val="restart"/>
                  <w:shd w:val="clear" w:color="auto" w:fill="auto"/>
                  <w:vAlign w:val="center"/>
                  <w:hideMark/>
                </w:tcPr>
                <w:p w:rsidR="00DE00E8" w:rsidRPr="005F1FAF" w:rsidRDefault="00DE00E8" w:rsidP="00B0425D">
                  <w:pPr>
                    <w:jc w:val="center"/>
                    <w:rPr>
                      <w:sz w:val="24"/>
                      <w:szCs w:val="24"/>
                      <w:lang w:val="en-US"/>
                    </w:rPr>
                  </w:pPr>
                  <w:r w:rsidRPr="005F1FAF">
                    <w:rPr>
                      <w:sz w:val="24"/>
                      <w:szCs w:val="24"/>
                      <w:lang w:val="en-US"/>
                    </w:rPr>
                    <w:t>6.536,31</w:t>
                  </w:r>
                </w:p>
              </w:tc>
              <w:tc>
                <w:tcPr>
                  <w:tcW w:w="1710" w:type="dxa"/>
                  <w:vMerge w:val="restart"/>
                  <w:shd w:val="clear" w:color="auto" w:fill="auto"/>
                  <w:noWrap/>
                  <w:vAlign w:val="center"/>
                  <w:hideMark/>
                </w:tcPr>
                <w:p w:rsidR="00DE00E8" w:rsidRPr="005F1FAF" w:rsidRDefault="00DE00E8" w:rsidP="00B0425D">
                  <w:pPr>
                    <w:jc w:val="right"/>
                    <w:rPr>
                      <w:sz w:val="24"/>
                      <w:szCs w:val="24"/>
                      <w:lang w:val="en-US"/>
                    </w:rPr>
                  </w:pPr>
                  <w:r w:rsidRPr="005F1FAF">
                    <w:rPr>
                      <w:sz w:val="24"/>
                      <w:szCs w:val="24"/>
                      <w:lang w:val="en-US"/>
                    </w:rPr>
                    <w:t>-325,38</w:t>
                  </w:r>
                </w:p>
              </w:tc>
            </w:tr>
            <w:tr w:rsidR="00DE00E8" w:rsidRPr="005F1FAF" w:rsidTr="0030115B">
              <w:trPr>
                <w:trHeight w:val="300"/>
                <w:jc w:val="center"/>
              </w:trPr>
              <w:tc>
                <w:tcPr>
                  <w:tcW w:w="600" w:type="dxa"/>
                  <w:vMerge/>
                  <w:shd w:val="clear" w:color="000000" w:fill="FFFFFF"/>
                </w:tcPr>
                <w:p w:rsidR="00DE00E8" w:rsidRPr="005F1FAF" w:rsidRDefault="00DE00E8" w:rsidP="00B0425D">
                  <w:pPr>
                    <w:jc w:val="center"/>
                    <w:rPr>
                      <w:sz w:val="24"/>
                      <w:szCs w:val="24"/>
                      <w:lang w:val="en-US"/>
                    </w:rPr>
                  </w:pPr>
                </w:p>
              </w:tc>
              <w:tc>
                <w:tcPr>
                  <w:tcW w:w="1350" w:type="dxa"/>
                  <w:shd w:val="clear" w:color="000000" w:fill="FFFFFF"/>
                  <w:vAlign w:val="center"/>
                </w:tcPr>
                <w:p w:rsidR="00DE00E8" w:rsidRPr="005F1FAF" w:rsidRDefault="00DE00E8" w:rsidP="00B0425D">
                  <w:pPr>
                    <w:jc w:val="center"/>
                    <w:rPr>
                      <w:sz w:val="24"/>
                      <w:szCs w:val="24"/>
                      <w:lang w:val="en-US"/>
                    </w:rPr>
                  </w:pPr>
                  <w:r w:rsidRPr="005F1FAF">
                    <w:rPr>
                      <w:sz w:val="24"/>
                      <w:szCs w:val="24"/>
                      <w:lang w:val="en-US"/>
                    </w:rPr>
                    <w:t>49</w:t>
                  </w:r>
                </w:p>
              </w:tc>
              <w:tc>
                <w:tcPr>
                  <w:tcW w:w="1590" w:type="dxa"/>
                  <w:shd w:val="clear" w:color="auto" w:fill="auto"/>
                  <w:vAlign w:val="center"/>
                </w:tcPr>
                <w:p w:rsidR="00DE00E8" w:rsidRPr="005F1FAF" w:rsidRDefault="00DE00E8" w:rsidP="00B0425D">
                  <w:pPr>
                    <w:jc w:val="center"/>
                    <w:rPr>
                      <w:sz w:val="24"/>
                      <w:szCs w:val="24"/>
                      <w:lang w:val="en-US"/>
                    </w:rPr>
                  </w:pPr>
                  <w:r w:rsidRPr="005F1FAF">
                    <w:rPr>
                      <w:color w:val="000000"/>
                      <w:sz w:val="24"/>
                      <w:szCs w:val="24"/>
                    </w:rPr>
                    <w:t>2.089,78</w:t>
                  </w:r>
                </w:p>
              </w:tc>
              <w:tc>
                <w:tcPr>
                  <w:tcW w:w="2280" w:type="dxa"/>
                  <w:vMerge/>
                  <w:shd w:val="clear" w:color="auto" w:fill="auto"/>
                  <w:vAlign w:val="center"/>
                </w:tcPr>
                <w:p w:rsidR="00DE00E8" w:rsidRPr="005F1FAF" w:rsidRDefault="00DE00E8" w:rsidP="00B0425D">
                  <w:pPr>
                    <w:jc w:val="center"/>
                    <w:rPr>
                      <w:sz w:val="24"/>
                      <w:szCs w:val="24"/>
                      <w:lang w:val="en-US"/>
                    </w:rPr>
                  </w:pPr>
                </w:p>
              </w:tc>
              <w:tc>
                <w:tcPr>
                  <w:tcW w:w="1710" w:type="dxa"/>
                  <w:vMerge/>
                  <w:shd w:val="clear" w:color="auto" w:fill="auto"/>
                  <w:noWrap/>
                  <w:vAlign w:val="bottom"/>
                </w:tcPr>
                <w:p w:rsidR="00DE00E8" w:rsidRPr="005F1FAF" w:rsidRDefault="00DE00E8" w:rsidP="00B0425D">
                  <w:pPr>
                    <w:jc w:val="right"/>
                    <w:rPr>
                      <w:sz w:val="24"/>
                      <w:szCs w:val="24"/>
                      <w:lang w:val="en-US"/>
                    </w:rPr>
                  </w:pPr>
                </w:p>
              </w:tc>
            </w:tr>
            <w:tr w:rsidR="00DE00E8" w:rsidRPr="005F1FAF" w:rsidTr="0030115B">
              <w:trPr>
                <w:trHeight w:val="300"/>
                <w:jc w:val="center"/>
              </w:trPr>
              <w:tc>
                <w:tcPr>
                  <w:tcW w:w="600" w:type="dxa"/>
                  <w:vMerge w:val="restart"/>
                  <w:shd w:val="clear" w:color="000000" w:fill="FFFFFF"/>
                  <w:vAlign w:val="center"/>
                </w:tcPr>
                <w:p w:rsidR="00DE00E8" w:rsidRPr="005F1FAF" w:rsidRDefault="00DE00E8" w:rsidP="00B0425D">
                  <w:pPr>
                    <w:jc w:val="center"/>
                    <w:rPr>
                      <w:sz w:val="24"/>
                      <w:szCs w:val="24"/>
                      <w:lang w:val="en-US"/>
                    </w:rPr>
                  </w:pPr>
                  <w:r w:rsidRPr="005F1FAF">
                    <w:rPr>
                      <w:sz w:val="24"/>
                      <w:szCs w:val="24"/>
                      <w:lang w:val="en-US"/>
                    </w:rPr>
                    <w:t>5</w:t>
                  </w:r>
                </w:p>
              </w:tc>
              <w:tc>
                <w:tcPr>
                  <w:tcW w:w="1350" w:type="dxa"/>
                  <w:shd w:val="clear" w:color="000000" w:fill="FFFFFF"/>
                  <w:vAlign w:val="center"/>
                  <w:hideMark/>
                </w:tcPr>
                <w:p w:rsidR="00DE00E8" w:rsidRPr="005F1FAF" w:rsidRDefault="00DE00E8" w:rsidP="00B0425D">
                  <w:pPr>
                    <w:jc w:val="center"/>
                    <w:rPr>
                      <w:sz w:val="24"/>
                      <w:szCs w:val="24"/>
                      <w:lang w:val="en-US"/>
                    </w:rPr>
                  </w:pPr>
                  <w:r w:rsidRPr="005F1FAF">
                    <w:rPr>
                      <w:sz w:val="24"/>
                      <w:szCs w:val="24"/>
                      <w:lang w:val="en-US"/>
                    </w:rPr>
                    <w:t>50</w:t>
                  </w:r>
                </w:p>
              </w:tc>
              <w:tc>
                <w:tcPr>
                  <w:tcW w:w="1590" w:type="dxa"/>
                  <w:shd w:val="clear" w:color="auto" w:fill="auto"/>
                  <w:vAlign w:val="center"/>
                  <w:hideMark/>
                </w:tcPr>
                <w:p w:rsidR="00DE00E8" w:rsidRPr="005F1FAF" w:rsidRDefault="00DE00E8" w:rsidP="00B0425D">
                  <w:pPr>
                    <w:jc w:val="center"/>
                    <w:rPr>
                      <w:sz w:val="24"/>
                      <w:szCs w:val="24"/>
                      <w:lang w:val="en-US"/>
                    </w:rPr>
                  </w:pPr>
                  <w:r w:rsidRPr="005F1FAF">
                    <w:rPr>
                      <w:color w:val="000000"/>
                      <w:sz w:val="24"/>
                      <w:szCs w:val="24"/>
                    </w:rPr>
                    <w:t>1.888,59</w:t>
                  </w:r>
                </w:p>
              </w:tc>
              <w:tc>
                <w:tcPr>
                  <w:tcW w:w="2280" w:type="dxa"/>
                  <w:vMerge w:val="restart"/>
                  <w:shd w:val="clear" w:color="auto" w:fill="auto"/>
                  <w:vAlign w:val="center"/>
                  <w:hideMark/>
                </w:tcPr>
                <w:p w:rsidR="00DE00E8" w:rsidRPr="005F1FAF" w:rsidRDefault="00DE00E8" w:rsidP="00B0425D">
                  <w:pPr>
                    <w:jc w:val="center"/>
                    <w:rPr>
                      <w:sz w:val="24"/>
                      <w:szCs w:val="24"/>
                      <w:lang w:val="en-US"/>
                    </w:rPr>
                  </w:pPr>
                  <w:r w:rsidRPr="005F1FAF">
                    <w:rPr>
                      <w:sz w:val="24"/>
                      <w:szCs w:val="24"/>
                      <w:lang w:val="en-US"/>
                    </w:rPr>
                    <w:t>4.384,86</w:t>
                  </w:r>
                </w:p>
              </w:tc>
              <w:tc>
                <w:tcPr>
                  <w:tcW w:w="1710" w:type="dxa"/>
                  <w:vMerge w:val="restart"/>
                  <w:shd w:val="clear" w:color="auto" w:fill="auto"/>
                  <w:noWrap/>
                  <w:vAlign w:val="center"/>
                  <w:hideMark/>
                </w:tcPr>
                <w:p w:rsidR="00DE00E8" w:rsidRPr="005F1FAF" w:rsidRDefault="00DE00E8" w:rsidP="00B0425D">
                  <w:pPr>
                    <w:jc w:val="right"/>
                    <w:rPr>
                      <w:sz w:val="24"/>
                      <w:szCs w:val="24"/>
                      <w:lang w:val="en-US"/>
                    </w:rPr>
                  </w:pPr>
                  <w:r w:rsidRPr="005F1FAF">
                    <w:rPr>
                      <w:sz w:val="24"/>
                      <w:szCs w:val="24"/>
                      <w:lang w:val="en-US"/>
                    </w:rPr>
                    <w:t>-218,28</w:t>
                  </w:r>
                </w:p>
              </w:tc>
            </w:tr>
            <w:tr w:rsidR="00DE00E8" w:rsidRPr="005F1FAF" w:rsidTr="0030115B">
              <w:trPr>
                <w:trHeight w:val="300"/>
                <w:jc w:val="center"/>
              </w:trPr>
              <w:tc>
                <w:tcPr>
                  <w:tcW w:w="600" w:type="dxa"/>
                  <w:vMerge/>
                  <w:shd w:val="clear" w:color="000000" w:fill="FFFFFF"/>
                </w:tcPr>
                <w:p w:rsidR="00DE00E8" w:rsidRPr="005F1FAF" w:rsidRDefault="00DE00E8" w:rsidP="00B0425D">
                  <w:pPr>
                    <w:jc w:val="center"/>
                    <w:rPr>
                      <w:sz w:val="24"/>
                      <w:szCs w:val="24"/>
                      <w:lang w:val="en-US"/>
                    </w:rPr>
                  </w:pPr>
                </w:p>
              </w:tc>
              <w:tc>
                <w:tcPr>
                  <w:tcW w:w="1350" w:type="dxa"/>
                  <w:shd w:val="clear" w:color="000000" w:fill="FFFFFF"/>
                  <w:vAlign w:val="center"/>
                </w:tcPr>
                <w:p w:rsidR="00DE00E8" w:rsidRPr="005F1FAF" w:rsidRDefault="00DE00E8" w:rsidP="00B0425D">
                  <w:pPr>
                    <w:jc w:val="center"/>
                    <w:rPr>
                      <w:sz w:val="24"/>
                      <w:szCs w:val="24"/>
                      <w:lang w:val="en-US"/>
                    </w:rPr>
                  </w:pPr>
                  <w:r w:rsidRPr="005F1FAF">
                    <w:rPr>
                      <w:sz w:val="24"/>
                      <w:szCs w:val="24"/>
                      <w:lang w:val="en-US"/>
                    </w:rPr>
                    <w:t>51</w:t>
                  </w:r>
                </w:p>
              </w:tc>
              <w:tc>
                <w:tcPr>
                  <w:tcW w:w="1590" w:type="dxa"/>
                  <w:shd w:val="clear" w:color="auto" w:fill="auto"/>
                  <w:vAlign w:val="center"/>
                </w:tcPr>
                <w:p w:rsidR="00DE00E8" w:rsidRPr="005F1FAF" w:rsidRDefault="00DE00E8" w:rsidP="00B0425D">
                  <w:pPr>
                    <w:jc w:val="center"/>
                    <w:rPr>
                      <w:sz w:val="24"/>
                      <w:szCs w:val="24"/>
                      <w:lang w:val="en-US"/>
                    </w:rPr>
                  </w:pPr>
                  <w:r w:rsidRPr="005F1FAF">
                    <w:rPr>
                      <w:color w:val="000000"/>
                      <w:sz w:val="24"/>
                      <w:szCs w:val="24"/>
                    </w:rPr>
                    <w:t>2.277,99</w:t>
                  </w:r>
                </w:p>
              </w:tc>
              <w:tc>
                <w:tcPr>
                  <w:tcW w:w="2280" w:type="dxa"/>
                  <w:vMerge/>
                  <w:shd w:val="clear" w:color="auto" w:fill="auto"/>
                  <w:vAlign w:val="center"/>
                </w:tcPr>
                <w:p w:rsidR="00DE00E8" w:rsidRPr="005F1FAF" w:rsidRDefault="00DE00E8" w:rsidP="00B0425D">
                  <w:pPr>
                    <w:jc w:val="center"/>
                    <w:rPr>
                      <w:sz w:val="24"/>
                      <w:szCs w:val="24"/>
                      <w:lang w:val="en-US"/>
                    </w:rPr>
                  </w:pPr>
                </w:p>
              </w:tc>
              <w:tc>
                <w:tcPr>
                  <w:tcW w:w="1710" w:type="dxa"/>
                  <w:vMerge/>
                  <w:shd w:val="clear" w:color="auto" w:fill="auto"/>
                  <w:noWrap/>
                  <w:vAlign w:val="bottom"/>
                </w:tcPr>
                <w:p w:rsidR="00DE00E8" w:rsidRPr="005F1FAF" w:rsidRDefault="00DE00E8" w:rsidP="00B0425D">
                  <w:pPr>
                    <w:jc w:val="right"/>
                    <w:rPr>
                      <w:sz w:val="24"/>
                      <w:szCs w:val="24"/>
                      <w:lang w:val="en-US"/>
                    </w:rPr>
                  </w:pPr>
                </w:p>
              </w:tc>
            </w:tr>
            <w:tr w:rsidR="00DE00E8" w:rsidRPr="005F1FAF" w:rsidTr="0030115B">
              <w:trPr>
                <w:trHeight w:val="300"/>
                <w:jc w:val="center"/>
              </w:trPr>
              <w:tc>
                <w:tcPr>
                  <w:tcW w:w="600" w:type="dxa"/>
                  <w:vMerge w:val="restart"/>
                  <w:shd w:val="clear" w:color="000000" w:fill="FFFFFF"/>
                  <w:vAlign w:val="center"/>
                </w:tcPr>
                <w:p w:rsidR="00DE00E8" w:rsidRPr="005F1FAF" w:rsidRDefault="00DE00E8" w:rsidP="00B0425D">
                  <w:pPr>
                    <w:jc w:val="center"/>
                    <w:rPr>
                      <w:sz w:val="24"/>
                      <w:szCs w:val="24"/>
                      <w:lang w:val="en-US"/>
                    </w:rPr>
                  </w:pPr>
                  <w:r w:rsidRPr="005F1FAF">
                    <w:rPr>
                      <w:sz w:val="24"/>
                      <w:szCs w:val="24"/>
                      <w:lang w:val="en-US"/>
                    </w:rPr>
                    <w:t>6</w:t>
                  </w:r>
                </w:p>
              </w:tc>
              <w:tc>
                <w:tcPr>
                  <w:tcW w:w="1350" w:type="dxa"/>
                  <w:shd w:val="clear" w:color="000000" w:fill="FFFFFF"/>
                  <w:vAlign w:val="center"/>
                  <w:hideMark/>
                </w:tcPr>
                <w:p w:rsidR="00DE00E8" w:rsidRPr="005F1FAF" w:rsidRDefault="00DE00E8" w:rsidP="00B0425D">
                  <w:pPr>
                    <w:jc w:val="center"/>
                    <w:rPr>
                      <w:sz w:val="24"/>
                      <w:szCs w:val="24"/>
                      <w:lang w:val="en-US"/>
                    </w:rPr>
                  </w:pPr>
                  <w:r w:rsidRPr="005F1FAF">
                    <w:rPr>
                      <w:sz w:val="24"/>
                      <w:szCs w:val="24"/>
                      <w:lang w:val="en-US"/>
                    </w:rPr>
                    <w:t>56</w:t>
                  </w:r>
                </w:p>
              </w:tc>
              <w:tc>
                <w:tcPr>
                  <w:tcW w:w="1590" w:type="dxa"/>
                  <w:shd w:val="clear" w:color="auto" w:fill="auto"/>
                  <w:vAlign w:val="center"/>
                  <w:hideMark/>
                </w:tcPr>
                <w:p w:rsidR="00DE00E8" w:rsidRPr="005F1FAF" w:rsidRDefault="00DE00E8" w:rsidP="00B0425D">
                  <w:pPr>
                    <w:jc w:val="center"/>
                    <w:rPr>
                      <w:sz w:val="24"/>
                      <w:szCs w:val="24"/>
                      <w:lang w:val="en-US"/>
                    </w:rPr>
                  </w:pPr>
                  <w:r w:rsidRPr="005F1FAF">
                    <w:rPr>
                      <w:color w:val="000000"/>
                      <w:sz w:val="24"/>
                      <w:szCs w:val="24"/>
                    </w:rPr>
                    <w:t>6.210,93</w:t>
                  </w:r>
                </w:p>
              </w:tc>
              <w:tc>
                <w:tcPr>
                  <w:tcW w:w="2280" w:type="dxa"/>
                  <w:vMerge w:val="restart"/>
                  <w:shd w:val="clear" w:color="auto" w:fill="auto"/>
                  <w:vAlign w:val="center"/>
                  <w:hideMark/>
                </w:tcPr>
                <w:p w:rsidR="00DE00E8" w:rsidRPr="005F1FAF" w:rsidRDefault="00DE00E8" w:rsidP="00B0425D">
                  <w:pPr>
                    <w:jc w:val="center"/>
                    <w:rPr>
                      <w:sz w:val="24"/>
                      <w:szCs w:val="24"/>
                      <w:lang w:val="en-US"/>
                    </w:rPr>
                  </w:pPr>
                  <w:r w:rsidRPr="005F1FAF">
                    <w:rPr>
                      <w:sz w:val="24"/>
                      <w:szCs w:val="24"/>
                      <w:lang w:val="en-US"/>
                    </w:rPr>
                    <w:t>10.245,00</w:t>
                  </w:r>
                </w:p>
              </w:tc>
              <w:tc>
                <w:tcPr>
                  <w:tcW w:w="1710" w:type="dxa"/>
                  <w:vMerge w:val="restart"/>
                  <w:shd w:val="clear" w:color="auto" w:fill="auto"/>
                  <w:noWrap/>
                  <w:vAlign w:val="center"/>
                  <w:hideMark/>
                </w:tcPr>
                <w:p w:rsidR="00DE00E8" w:rsidRPr="005F1FAF" w:rsidRDefault="00DE00E8" w:rsidP="00B0425D">
                  <w:pPr>
                    <w:jc w:val="right"/>
                    <w:rPr>
                      <w:sz w:val="24"/>
                      <w:szCs w:val="24"/>
                      <w:lang w:val="en-US"/>
                    </w:rPr>
                  </w:pPr>
                  <w:r w:rsidRPr="005F1FAF">
                    <w:rPr>
                      <w:sz w:val="24"/>
                      <w:szCs w:val="24"/>
                      <w:lang w:val="en-US"/>
                    </w:rPr>
                    <w:t>-510,00</w:t>
                  </w:r>
                </w:p>
              </w:tc>
            </w:tr>
            <w:tr w:rsidR="00DE00E8" w:rsidRPr="005F1FAF" w:rsidTr="0030115B">
              <w:trPr>
                <w:trHeight w:val="300"/>
                <w:jc w:val="center"/>
              </w:trPr>
              <w:tc>
                <w:tcPr>
                  <w:tcW w:w="600" w:type="dxa"/>
                  <w:vMerge/>
                  <w:shd w:val="clear" w:color="000000" w:fill="FFFFFF"/>
                </w:tcPr>
                <w:p w:rsidR="00DE00E8" w:rsidRPr="005F1FAF" w:rsidRDefault="00DE00E8" w:rsidP="00B0425D">
                  <w:pPr>
                    <w:jc w:val="center"/>
                    <w:rPr>
                      <w:sz w:val="24"/>
                      <w:szCs w:val="24"/>
                      <w:lang w:val="en-US"/>
                    </w:rPr>
                  </w:pPr>
                </w:p>
              </w:tc>
              <w:tc>
                <w:tcPr>
                  <w:tcW w:w="1350" w:type="dxa"/>
                  <w:shd w:val="clear" w:color="000000" w:fill="FFFFFF"/>
                  <w:vAlign w:val="center"/>
                </w:tcPr>
                <w:p w:rsidR="00DE00E8" w:rsidRPr="005F1FAF" w:rsidRDefault="00DE00E8" w:rsidP="00B0425D">
                  <w:pPr>
                    <w:jc w:val="center"/>
                    <w:rPr>
                      <w:sz w:val="24"/>
                      <w:szCs w:val="24"/>
                      <w:lang w:val="en-US"/>
                    </w:rPr>
                  </w:pPr>
                  <w:r w:rsidRPr="005F1FAF">
                    <w:rPr>
                      <w:sz w:val="24"/>
                      <w:szCs w:val="24"/>
                      <w:lang w:val="en-US"/>
                    </w:rPr>
                    <w:t>222</w:t>
                  </w:r>
                </w:p>
              </w:tc>
              <w:tc>
                <w:tcPr>
                  <w:tcW w:w="1590" w:type="dxa"/>
                  <w:shd w:val="clear" w:color="auto" w:fill="auto"/>
                  <w:vAlign w:val="center"/>
                </w:tcPr>
                <w:p w:rsidR="00DE00E8" w:rsidRPr="005F1FAF" w:rsidRDefault="00DE00E8" w:rsidP="00B0425D">
                  <w:pPr>
                    <w:jc w:val="center"/>
                    <w:rPr>
                      <w:sz w:val="24"/>
                      <w:szCs w:val="24"/>
                      <w:lang w:val="en-US"/>
                    </w:rPr>
                  </w:pPr>
                  <w:r w:rsidRPr="005F1FAF">
                    <w:rPr>
                      <w:color w:val="000000"/>
                      <w:sz w:val="24"/>
                      <w:szCs w:val="24"/>
                    </w:rPr>
                    <w:t>3.524,07</w:t>
                  </w:r>
                </w:p>
              </w:tc>
              <w:tc>
                <w:tcPr>
                  <w:tcW w:w="2280" w:type="dxa"/>
                  <w:vMerge/>
                  <w:shd w:val="clear" w:color="auto" w:fill="auto"/>
                  <w:vAlign w:val="center"/>
                </w:tcPr>
                <w:p w:rsidR="00DE00E8" w:rsidRPr="005F1FAF" w:rsidRDefault="00DE00E8" w:rsidP="00B0425D">
                  <w:pPr>
                    <w:jc w:val="center"/>
                    <w:rPr>
                      <w:sz w:val="24"/>
                      <w:szCs w:val="24"/>
                      <w:lang w:val="en-US"/>
                    </w:rPr>
                  </w:pPr>
                </w:p>
              </w:tc>
              <w:tc>
                <w:tcPr>
                  <w:tcW w:w="1710" w:type="dxa"/>
                  <w:vMerge/>
                  <w:shd w:val="clear" w:color="auto" w:fill="auto"/>
                  <w:noWrap/>
                  <w:vAlign w:val="bottom"/>
                </w:tcPr>
                <w:p w:rsidR="00DE00E8" w:rsidRPr="005F1FAF" w:rsidRDefault="00DE00E8" w:rsidP="00B0425D">
                  <w:pPr>
                    <w:jc w:val="right"/>
                    <w:rPr>
                      <w:sz w:val="24"/>
                      <w:szCs w:val="24"/>
                      <w:lang w:val="en-US"/>
                    </w:rPr>
                  </w:pPr>
                </w:p>
              </w:tc>
            </w:tr>
            <w:tr w:rsidR="00632702" w:rsidRPr="005F1FAF" w:rsidTr="0030115B">
              <w:trPr>
                <w:trHeight w:val="300"/>
                <w:jc w:val="center"/>
              </w:trPr>
              <w:tc>
                <w:tcPr>
                  <w:tcW w:w="600" w:type="dxa"/>
                  <w:shd w:val="clear" w:color="000000" w:fill="FFFFFF"/>
                </w:tcPr>
                <w:p w:rsidR="00632702" w:rsidRPr="005F1FAF" w:rsidRDefault="00DE00E8" w:rsidP="00B0425D">
                  <w:pPr>
                    <w:jc w:val="center"/>
                    <w:rPr>
                      <w:sz w:val="24"/>
                      <w:szCs w:val="24"/>
                      <w:lang w:val="en-US"/>
                    </w:rPr>
                  </w:pPr>
                  <w:r w:rsidRPr="005F1FAF">
                    <w:rPr>
                      <w:sz w:val="24"/>
                      <w:szCs w:val="24"/>
                      <w:lang w:val="en-US"/>
                    </w:rPr>
                    <w:t>7</w:t>
                  </w:r>
                </w:p>
              </w:tc>
              <w:tc>
                <w:tcPr>
                  <w:tcW w:w="1350" w:type="dxa"/>
                  <w:shd w:val="clear" w:color="000000" w:fill="FFFFFF"/>
                  <w:vAlign w:val="center"/>
                  <w:hideMark/>
                </w:tcPr>
                <w:p w:rsidR="00632702" w:rsidRPr="005F1FAF" w:rsidRDefault="00632702" w:rsidP="00B0425D">
                  <w:pPr>
                    <w:jc w:val="center"/>
                    <w:rPr>
                      <w:sz w:val="24"/>
                      <w:szCs w:val="24"/>
                      <w:lang w:val="en-US"/>
                    </w:rPr>
                  </w:pPr>
                  <w:r w:rsidRPr="005F1FAF">
                    <w:rPr>
                      <w:sz w:val="24"/>
                      <w:szCs w:val="24"/>
                      <w:lang w:val="en-US"/>
                    </w:rPr>
                    <w:t>67</w:t>
                  </w:r>
                </w:p>
              </w:tc>
              <w:tc>
                <w:tcPr>
                  <w:tcW w:w="1590" w:type="dxa"/>
                  <w:shd w:val="clear" w:color="auto" w:fill="auto"/>
                  <w:vAlign w:val="center"/>
                  <w:hideMark/>
                </w:tcPr>
                <w:p w:rsidR="00632702" w:rsidRPr="005F1FAF" w:rsidRDefault="00632702" w:rsidP="00B0425D">
                  <w:pPr>
                    <w:jc w:val="center"/>
                    <w:rPr>
                      <w:sz w:val="24"/>
                      <w:szCs w:val="24"/>
                      <w:lang w:val="en-US"/>
                    </w:rPr>
                  </w:pPr>
                  <w:r w:rsidRPr="005F1FAF">
                    <w:rPr>
                      <w:sz w:val="24"/>
                      <w:szCs w:val="24"/>
                      <w:lang w:val="en-US"/>
                    </w:rPr>
                    <w:t>2.466,20</w:t>
                  </w:r>
                </w:p>
              </w:tc>
              <w:tc>
                <w:tcPr>
                  <w:tcW w:w="2280" w:type="dxa"/>
                  <w:shd w:val="clear" w:color="auto" w:fill="auto"/>
                  <w:vAlign w:val="center"/>
                  <w:hideMark/>
                </w:tcPr>
                <w:p w:rsidR="00632702" w:rsidRPr="005F1FAF" w:rsidRDefault="00632702" w:rsidP="00B0425D">
                  <w:pPr>
                    <w:jc w:val="center"/>
                    <w:rPr>
                      <w:sz w:val="24"/>
                      <w:szCs w:val="24"/>
                      <w:lang w:val="en-US"/>
                    </w:rPr>
                  </w:pPr>
                  <w:r w:rsidRPr="005F1FAF">
                    <w:rPr>
                      <w:sz w:val="24"/>
                      <w:szCs w:val="24"/>
                      <w:lang w:val="en-US"/>
                    </w:rPr>
                    <w:t>1.987,53</w:t>
                  </w:r>
                </w:p>
              </w:tc>
              <w:tc>
                <w:tcPr>
                  <w:tcW w:w="1710" w:type="dxa"/>
                  <w:shd w:val="clear" w:color="auto" w:fill="auto"/>
                  <w:noWrap/>
                  <w:vAlign w:val="bottom"/>
                  <w:hideMark/>
                </w:tcPr>
                <w:p w:rsidR="00632702" w:rsidRPr="005F1FAF" w:rsidRDefault="00632702" w:rsidP="00B0425D">
                  <w:pPr>
                    <w:jc w:val="right"/>
                    <w:rPr>
                      <w:sz w:val="24"/>
                      <w:szCs w:val="24"/>
                      <w:lang w:val="en-US"/>
                    </w:rPr>
                  </w:pPr>
                  <w:r w:rsidRPr="005F1FAF">
                    <w:rPr>
                      <w:sz w:val="24"/>
                      <w:szCs w:val="24"/>
                      <w:lang w:val="en-US"/>
                    </w:rPr>
                    <w:t>478,67</w:t>
                  </w:r>
                </w:p>
              </w:tc>
            </w:tr>
            <w:tr w:rsidR="00632702" w:rsidRPr="005F1FAF" w:rsidTr="0030115B">
              <w:trPr>
                <w:trHeight w:val="300"/>
                <w:jc w:val="center"/>
              </w:trPr>
              <w:tc>
                <w:tcPr>
                  <w:tcW w:w="600" w:type="dxa"/>
                  <w:shd w:val="clear" w:color="000000" w:fill="FFFFFF"/>
                </w:tcPr>
                <w:p w:rsidR="00632702" w:rsidRPr="005F1FAF" w:rsidRDefault="00DE00E8" w:rsidP="00B0425D">
                  <w:pPr>
                    <w:jc w:val="center"/>
                    <w:rPr>
                      <w:sz w:val="24"/>
                      <w:szCs w:val="24"/>
                      <w:lang w:val="en-US"/>
                    </w:rPr>
                  </w:pPr>
                  <w:r w:rsidRPr="005F1FAF">
                    <w:rPr>
                      <w:sz w:val="24"/>
                      <w:szCs w:val="24"/>
                      <w:lang w:val="en-US"/>
                    </w:rPr>
                    <w:t>9</w:t>
                  </w:r>
                </w:p>
              </w:tc>
              <w:tc>
                <w:tcPr>
                  <w:tcW w:w="1350" w:type="dxa"/>
                  <w:shd w:val="clear" w:color="000000" w:fill="FFFFFF"/>
                  <w:vAlign w:val="center"/>
                  <w:hideMark/>
                </w:tcPr>
                <w:p w:rsidR="00632702" w:rsidRPr="005F1FAF" w:rsidRDefault="00632702" w:rsidP="00B0425D">
                  <w:pPr>
                    <w:jc w:val="center"/>
                    <w:rPr>
                      <w:sz w:val="24"/>
                      <w:szCs w:val="24"/>
                      <w:lang w:val="en-US"/>
                    </w:rPr>
                  </w:pPr>
                  <w:r w:rsidRPr="005F1FAF">
                    <w:rPr>
                      <w:sz w:val="24"/>
                      <w:szCs w:val="24"/>
                      <w:lang w:val="en-US"/>
                    </w:rPr>
                    <w:t>81</w:t>
                  </w:r>
                </w:p>
              </w:tc>
              <w:tc>
                <w:tcPr>
                  <w:tcW w:w="1590" w:type="dxa"/>
                  <w:shd w:val="clear" w:color="auto" w:fill="auto"/>
                  <w:vAlign w:val="center"/>
                  <w:hideMark/>
                </w:tcPr>
                <w:p w:rsidR="00632702" w:rsidRPr="005F1FAF" w:rsidRDefault="00632702" w:rsidP="00B0425D">
                  <w:pPr>
                    <w:jc w:val="center"/>
                    <w:rPr>
                      <w:sz w:val="24"/>
                      <w:szCs w:val="24"/>
                      <w:lang w:val="en-US"/>
                    </w:rPr>
                  </w:pPr>
                  <w:r w:rsidRPr="005F1FAF">
                    <w:rPr>
                      <w:sz w:val="24"/>
                      <w:szCs w:val="24"/>
                      <w:lang w:val="en-US"/>
                    </w:rPr>
                    <w:t>41.032,93</w:t>
                  </w:r>
                </w:p>
              </w:tc>
              <w:tc>
                <w:tcPr>
                  <w:tcW w:w="2280" w:type="dxa"/>
                  <w:shd w:val="clear" w:color="auto" w:fill="auto"/>
                  <w:vAlign w:val="center"/>
                  <w:hideMark/>
                </w:tcPr>
                <w:p w:rsidR="00632702" w:rsidRPr="005F1FAF" w:rsidRDefault="00632702" w:rsidP="00B0425D">
                  <w:pPr>
                    <w:jc w:val="center"/>
                    <w:rPr>
                      <w:sz w:val="24"/>
                      <w:szCs w:val="24"/>
                      <w:lang w:val="en-US"/>
                    </w:rPr>
                  </w:pPr>
                  <w:r w:rsidRPr="005F1FAF">
                    <w:rPr>
                      <w:sz w:val="24"/>
                      <w:szCs w:val="24"/>
                      <w:lang w:val="en-US"/>
                    </w:rPr>
                    <w:t>43.610,53</w:t>
                  </w:r>
                </w:p>
              </w:tc>
              <w:tc>
                <w:tcPr>
                  <w:tcW w:w="1710" w:type="dxa"/>
                  <w:shd w:val="clear" w:color="auto" w:fill="auto"/>
                  <w:noWrap/>
                  <w:vAlign w:val="bottom"/>
                  <w:hideMark/>
                </w:tcPr>
                <w:p w:rsidR="00632702" w:rsidRPr="005F1FAF" w:rsidRDefault="00632702" w:rsidP="00B0425D">
                  <w:pPr>
                    <w:jc w:val="right"/>
                    <w:rPr>
                      <w:sz w:val="24"/>
                      <w:szCs w:val="24"/>
                      <w:lang w:val="en-US"/>
                    </w:rPr>
                  </w:pPr>
                  <w:r w:rsidRPr="005F1FAF">
                    <w:rPr>
                      <w:sz w:val="24"/>
                      <w:szCs w:val="24"/>
                      <w:lang w:val="en-US"/>
                    </w:rPr>
                    <w:t>-2.577,60</w:t>
                  </w:r>
                </w:p>
              </w:tc>
            </w:tr>
            <w:tr w:rsidR="00632702" w:rsidRPr="005F1FAF" w:rsidTr="0030115B">
              <w:trPr>
                <w:trHeight w:val="300"/>
                <w:jc w:val="center"/>
              </w:trPr>
              <w:tc>
                <w:tcPr>
                  <w:tcW w:w="600" w:type="dxa"/>
                  <w:shd w:val="clear" w:color="000000" w:fill="FFFFFF"/>
                </w:tcPr>
                <w:p w:rsidR="00632702" w:rsidRPr="005F1FAF" w:rsidRDefault="00DE00E8" w:rsidP="00B0425D">
                  <w:pPr>
                    <w:jc w:val="center"/>
                    <w:rPr>
                      <w:sz w:val="24"/>
                      <w:szCs w:val="24"/>
                      <w:lang w:val="en-US"/>
                    </w:rPr>
                  </w:pPr>
                  <w:r w:rsidRPr="005F1FAF">
                    <w:rPr>
                      <w:sz w:val="24"/>
                      <w:szCs w:val="24"/>
                      <w:lang w:val="en-US"/>
                    </w:rPr>
                    <w:t>10</w:t>
                  </w:r>
                </w:p>
              </w:tc>
              <w:tc>
                <w:tcPr>
                  <w:tcW w:w="1350" w:type="dxa"/>
                  <w:shd w:val="clear" w:color="000000" w:fill="FFFFFF"/>
                  <w:vAlign w:val="center"/>
                  <w:hideMark/>
                </w:tcPr>
                <w:p w:rsidR="00632702" w:rsidRPr="005F1FAF" w:rsidRDefault="00632702" w:rsidP="00B0425D">
                  <w:pPr>
                    <w:jc w:val="center"/>
                    <w:rPr>
                      <w:sz w:val="24"/>
                      <w:szCs w:val="24"/>
                      <w:lang w:val="en-US"/>
                    </w:rPr>
                  </w:pPr>
                  <w:r w:rsidRPr="005F1FAF">
                    <w:rPr>
                      <w:sz w:val="24"/>
                      <w:szCs w:val="24"/>
                      <w:lang w:val="en-US"/>
                    </w:rPr>
                    <w:t>88</w:t>
                  </w:r>
                </w:p>
              </w:tc>
              <w:tc>
                <w:tcPr>
                  <w:tcW w:w="1590" w:type="dxa"/>
                  <w:shd w:val="clear" w:color="000000" w:fill="FFFFFF"/>
                  <w:vAlign w:val="center"/>
                  <w:hideMark/>
                </w:tcPr>
                <w:p w:rsidR="00632702" w:rsidRPr="005F1FAF" w:rsidRDefault="00632702" w:rsidP="00B0425D">
                  <w:pPr>
                    <w:jc w:val="center"/>
                    <w:rPr>
                      <w:sz w:val="24"/>
                      <w:szCs w:val="24"/>
                      <w:lang w:val="en-US"/>
                    </w:rPr>
                  </w:pPr>
                  <w:r w:rsidRPr="005F1FAF">
                    <w:rPr>
                      <w:sz w:val="24"/>
                      <w:szCs w:val="24"/>
                      <w:lang w:val="en-US"/>
                    </w:rPr>
                    <w:t>345.896,52</w:t>
                  </w:r>
                </w:p>
              </w:tc>
              <w:tc>
                <w:tcPr>
                  <w:tcW w:w="2280" w:type="dxa"/>
                  <w:shd w:val="clear" w:color="000000" w:fill="FFFFFF"/>
                  <w:vAlign w:val="center"/>
                  <w:hideMark/>
                </w:tcPr>
                <w:p w:rsidR="00632702" w:rsidRPr="005F1FAF" w:rsidRDefault="00632702" w:rsidP="00B0425D">
                  <w:pPr>
                    <w:jc w:val="center"/>
                    <w:rPr>
                      <w:sz w:val="24"/>
                      <w:szCs w:val="24"/>
                      <w:lang w:val="en-US"/>
                    </w:rPr>
                  </w:pPr>
                  <w:r w:rsidRPr="005F1FAF">
                    <w:rPr>
                      <w:sz w:val="24"/>
                      <w:szCs w:val="24"/>
                      <w:lang w:val="en-US"/>
                    </w:rPr>
                    <w:t>358.534,75</w:t>
                  </w:r>
                </w:p>
              </w:tc>
              <w:tc>
                <w:tcPr>
                  <w:tcW w:w="1710" w:type="dxa"/>
                  <w:shd w:val="clear" w:color="auto" w:fill="auto"/>
                  <w:noWrap/>
                  <w:vAlign w:val="bottom"/>
                  <w:hideMark/>
                </w:tcPr>
                <w:p w:rsidR="00632702" w:rsidRPr="005F1FAF" w:rsidRDefault="00632702" w:rsidP="00B0425D">
                  <w:pPr>
                    <w:jc w:val="right"/>
                    <w:rPr>
                      <w:sz w:val="24"/>
                      <w:szCs w:val="24"/>
                      <w:lang w:val="en-US"/>
                    </w:rPr>
                  </w:pPr>
                  <w:r w:rsidRPr="005F1FAF">
                    <w:rPr>
                      <w:sz w:val="24"/>
                      <w:szCs w:val="24"/>
                      <w:lang w:val="en-US"/>
                    </w:rPr>
                    <w:t>-12.638,23</w:t>
                  </w:r>
                </w:p>
              </w:tc>
            </w:tr>
            <w:tr w:rsidR="00632702" w:rsidRPr="005F1FAF" w:rsidTr="0030115B">
              <w:trPr>
                <w:trHeight w:val="300"/>
                <w:jc w:val="center"/>
              </w:trPr>
              <w:tc>
                <w:tcPr>
                  <w:tcW w:w="600" w:type="dxa"/>
                  <w:shd w:val="clear" w:color="000000" w:fill="FFFFFF"/>
                </w:tcPr>
                <w:p w:rsidR="00632702" w:rsidRPr="005F1FAF" w:rsidRDefault="00DE00E8" w:rsidP="00B0425D">
                  <w:pPr>
                    <w:jc w:val="center"/>
                    <w:rPr>
                      <w:sz w:val="24"/>
                      <w:szCs w:val="24"/>
                      <w:lang w:val="en-US"/>
                    </w:rPr>
                  </w:pPr>
                  <w:r w:rsidRPr="005F1FAF">
                    <w:rPr>
                      <w:sz w:val="24"/>
                      <w:szCs w:val="24"/>
                      <w:lang w:val="en-US"/>
                    </w:rPr>
                    <w:t>11</w:t>
                  </w:r>
                </w:p>
              </w:tc>
              <w:tc>
                <w:tcPr>
                  <w:tcW w:w="1350" w:type="dxa"/>
                  <w:shd w:val="clear" w:color="000000" w:fill="FFFFFF"/>
                  <w:vAlign w:val="center"/>
                  <w:hideMark/>
                </w:tcPr>
                <w:p w:rsidR="00632702" w:rsidRPr="005F1FAF" w:rsidRDefault="00632702" w:rsidP="00B0425D">
                  <w:pPr>
                    <w:jc w:val="center"/>
                    <w:rPr>
                      <w:sz w:val="24"/>
                      <w:szCs w:val="24"/>
                      <w:lang w:val="en-US"/>
                    </w:rPr>
                  </w:pPr>
                  <w:r w:rsidRPr="005F1FAF">
                    <w:rPr>
                      <w:sz w:val="24"/>
                      <w:szCs w:val="24"/>
                      <w:lang w:val="en-US"/>
                    </w:rPr>
                    <w:t>89</w:t>
                  </w:r>
                </w:p>
              </w:tc>
              <w:tc>
                <w:tcPr>
                  <w:tcW w:w="1590" w:type="dxa"/>
                  <w:shd w:val="clear" w:color="auto" w:fill="auto"/>
                  <w:vAlign w:val="center"/>
                  <w:hideMark/>
                </w:tcPr>
                <w:p w:rsidR="00632702" w:rsidRPr="005F1FAF" w:rsidRDefault="00632702" w:rsidP="00B0425D">
                  <w:pPr>
                    <w:jc w:val="center"/>
                    <w:rPr>
                      <w:sz w:val="24"/>
                      <w:szCs w:val="24"/>
                      <w:lang w:val="en-US"/>
                    </w:rPr>
                  </w:pPr>
                  <w:r w:rsidRPr="005F1FAF">
                    <w:rPr>
                      <w:sz w:val="24"/>
                      <w:szCs w:val="24"/>
                      <w:lang w:val="en-US"/>
                    </w:rPr>
                    <w:t>165.402,88</w:t>
                  </w:r>
                </w:p>
              </w:tc>
              <w:tc>
                <w:tcPr>
                  <w:tcW w:w="2280" w:type="dxa"/>
                  <w:shd w:val="clear" w:color="auto" w:fill="auto"/>
                  <w:vAlign w:val="center"/>
                  <w:hideMark/>
                </w:tcPr>
                <w:p w:rsidR="00632702" w:rsidRPr="005F1FAF" w:rsidRDefault="00632702" w:rsidP="00B0425D">
                  <w:pPr>
                    <w:jc w:val="center"/>
                    <w:rPr>
                      <w:sz w:val="24"/>
                      <w:szCs w:val="24"/>
                      <w:lang w:val="en-US"/>
                    </w:rPr>
                  </w:pPr>
                  <w:r w:rsidRPr="005F1FAF">
                    <w:rPr>
                      <w:sz w:val="24"/>
                      <w:szCs w:val="24"/>
                      <w:lang w:val="en-US"/>
                    </w:rPr>
                    <w:t>167.606,14</w:t>
                  </w:r>
                </w:p>
              </w:tc>
              <w:tc>
                <w:tcPr>
                  <w:tcW w:w="1710" w:type="dxa"/>
                  <w:shd w:val="clear" w:color="auto" w:fill="auto"/>
                  <w:noWrap/>
                  <w:vAlign w:val="bottom"/>
                  <w:hideMark/>
                </w:tcPr>
                <w:p w:rsidR="00632702" w:rsidRPr="005F1FAF" w:rsidRDefault="00083C9A" w:rsidP="00B0425D">
                  <w:pPr>
                    <w:jc w:val="right"/>
                    <w:rPr>
                      <w:sz w:val="24"/>
                      <w:szCs w:val="24"/>
                      <w:lang w:val="en-US"/>
                    </w:rPr>
                  </w:pPr>
                  <w:r w:rsidRPr="005F1FAF">
                    <w:rPr>
                      <w:sz w:val="24"/>
                      <w:szCs w:val="24"/>
                      <w:lang w:val="en-US"/>
                    </w:rPr>
                    <w:t>-2.203,26</w:t>
                  </w:r>
                </w:p>
              </w:tc>
            </w:tr>
            <w:tr w:rsidR="00632702" w:rsidRPr="005F1FAF" w:rsidTr="0030115B">
              <w:trPr>
                <w:trHeight w:val="300"/>
                <w:jc w:val="center"/>
              </w:trPr>
              <w:tc>
                <w:tcPr>
                  <w:tcW w:w="600" w:type="dxa"/>
                  <w:shd w:val="clear" w:color="000000" w:fill="FFFFFF"/>
                </w:tcPr>
                <w:p w:rsidR="00632702" w:rsidRPr="005F1FAF" w:rsidRDefault="00DE00E8" w:rsidP="00B0425D">
                  <w:pPr>
                    <w:jc w:val="center"/>
                    <w:rPr>
                      <w:sz w:val="24"/>
                      <w:szCs w:val="24"/>
                      <w:lang w:val="en-US"/>
                    </w:rPr>
                  </w:pPr>
                  <w:r w:rsidRPr="005F1FAF">
                    <w:rPr>
                      <w:sz w:val="24"/>
                      <w:szCs w:val="24"/>
                      <w:lang w:val="en-US"/>
                    </w:rPr>
                    <w:t>12</w:t>
                  </w:r>
                </w:p>
              </w:tc>
              <w:tc>
                <w:tcPr>
                  <w:tcW w:w="1350" w:type="dxa"/>
                  <w:shd w:val="clear" w:color="000000" w:fill="FFFFFF"/>
                  <w:vAlign w:val="center"/>
                  <w:hideMark/>
                </w:tcPr>
                <w:p w:rsidR="00632702" w:rsidRPr="005F1FAF" w:rsidRDefault="00632702" w:rsidP="00B0425D">
                  <w:pPr>
                    <w:jc w:val="center"/>
                    <w:rPr>
                      <w:sz w:val="24"/>
                      <w:szCs w:val="24"/>
                      <w:lang w:val="en-US"/>
                    </w:rPr>
                  </w:pPr>
                  <w:r w:rsidRPr="005F1FAF">
                    <w:rPr>
                      <w:sz w:val="24"/>
                      <w:szCs w:val="24"/>
                      <w:lang w:val="en-US"/>
                    </w:rPr>
                    <w:t>91</w:t>
                  </w:r>
                </w:p>
              </w:tc>
              <w:tc>
                <w:tcPr>
                  <w:tcW w:w="1590" w:type="dxa"/>
                  <w:shd w:val="clear" w:color="auto" w:fill="auto"/>
                  <w:vAlign w:val="center"/>
                  <w:hideMark/>
                </w:tcPr>
                <w:p w:rsidR="00632702" w:rsidRPr="005F1FAF" w:rsidRDefault="00632702" w:rsidP="00B0425D">
                  <w:pPr>
                    <w:jc w:val="center"/>
                    <w:rPr>
                      <w:sz w:val="24"/>
                      <w:szCs w:val="24"/>
                      <w:lang w:val="en-US"/>
                    </w:rPr>
                  </w:pPr>
                  <w:r w:rsidRPr="005F1FAF">
                    <w:rPr>
                      <w:sz w:val="24"/>
                      <w:szCs w:val="24"/>
                      <w:lang w:val="en-US"/>
                    </w:rPr>
                    <w:t>491.235,57</w:t>
                  </w:r>
                </w:p>
              </w:tc>
              <w:tc>
                <w:tcPr>
                  <w:tcW w:w="2280" w:type="dxa"/>
                  <w:shd w:val="clear" w:color="auto" w:fill="auto"/>
                  <w:vAlign w:val="center"/>
                  <w:hideMark/>
                </w:tcPr>
                <w:p w:rsidR="00632702" w:rsidRPr="005F1FAF" w:rsidRDefault="00632702" w:rsidP="00B0425D">
                  <w:pPr>
                    <w:jc w:val="center"/>
                    <w:rPr>
                      <w:sz w:val="24"/>
                      <w:szCs w:val="24"/>
                      <w:lang w:val="en-US"/>
                    </w:rPr>
                  </w:pPr>
                  <w:r w:rsidRPr="005F1FAF">
                    <w:rPr>
                      <w:sz w:val="24"/>
                      <w:szCs w:val="24"/>
                      <w:lang w:val="en-US"/>
                    </w:rPr>
                    <w:t>425.877,40</w:t>
                  </w:r>
                </w:p>
              </w:tc>
              <w:tc>
                <w:tcPr>
                  <w:tcW w:w="1710" w:type="dxa"/>
                  <w:shd w:val="clear" w:color="auto" w:fill="auto"/>
                  <w:noWrap/>
                  <w:vAlign w:val="bottom"/>
                  <w:hideMark/>
                </w:tcPr>
                <w:p w:rsidR="00632702" w:rsidRPr="005F1FAF" w:rsidRDefault="00632702" w:rsidP="00B0425D">
                  <w:pPr>
                    <w:jc w:val="right"/>
                    <w:rPr>
                      <w:sz w:val="24"/>
                      <w:szCs w:val="24"/>
                      <w:lang w:val="en-US"/>
                    </w:rPr>
                  </w:pPr>
                  <w:r w:rsidRPr="005F1FAF">
                    <w:rPr>
                      <w:sz w:val="24"/>
                      <w:szCs w:val="24"/>
                      <w:lang w:val="en-US"/>
                    </w:rPr>
                    <w:t>65.358,17</w:t>
                  </w:r>
                </w:p>
              </w:tc>
            </w:tr>
            <w:tr w:rsidR="00632702" w:rsidRPr="005F1FAF" w:rsidTr="0030115B">
              <w:trPr>
                <w:trHeight w:val="300"/>
                <w:jc w:val="center"/>
              </w:trPr>
              <w:tc>
                <w:tcPr>
                  <w:tcW w:w="600" w:type="dxa"/>
                  <w:shd w:val="clear" w:color="000000" w:fill="FFFFFF"/>
                </w:tcPr>
                <w:p w:rsidR="00632702" w:rsidRPr="005F1FAF" w:rsidRDefault="00DE00E8" w:rsidP="00B0425D">
                  <w:pPr>
                    <w:jc w:val="center"/>
                    <w:rPr>
                      <w:sz w:val="24"/>
                      <w:szCs w:val="24"/>
                      <w:lang w:val="en-US"/>
                    </w:rPr>
                  </w:pPr>
                  <w:r w:rsidRPr="005F1FAF">
                    <w:rPr>
                      <w:sz w:val="24"/>
                      <w:szCs w:val="24"/>
                      <w:lang w:val="en-US"/>
                    </w:rPr>
                    <w:t>13</w:t>
                  </w:r>
                </w:p>
              </w:tc>
              <w:tc>
                <w:tcPr>
                  <w:tcW w:w="1350" w:type="dxa"/>
                  <w:shd w:val="clear" w:color="000000" w:fill="FFFFFF"/>
                  <w:vAlign w:val="center"/>
                  <w:hideMark/>
                </w:tcPr>
                <w:p w:rsidR="00632702" w:rsidRPr="005F1FAF" w:rsidRDefault="00632702" w:rsidP="00B0425D">
                  <w:pPr>
                    <w:jc w:val="center"/>
                    <w:rPr>
                      <w:sz w:val="24"/>
                      <w:szCs w:val="24"/>
                      <w:lang w:val="en-US"/>
                    </w:rPr>
                  </w:pPr>
                  <w:r w:rsidRPr="005F1FAF">
                    <w:rPr>
                      <w:sz w:val="24"/>
                      <w:szCs w:val="24"/>
                      <w:lang w:val="en-US"/>
                    </w:rPr>
                    <w:t>92</w:t>
                  </w:r>
                </w:p>
              </w:tc>
              <w:tc>
                <w:tcPr>
                  <w:tcW w:w="1590" w:type="dxa"/>
                  <w:shd w:val="clear" w:color="auto" w:fill="auto"/>
                  <w:vAlign w:val="center"/>
                  <w:hideMark/>
                </w:tcPr>
                <w:p w:rsidR="00632702" w:rsidRPr="005F1FAF" w:rsidRDefault="00632702" w:rsidP="00B0425D">
                  <w:pPr>
                    <w:jc w:val="center"/>
                    <w:rPr>
                      <w:sz w:val="24"/>
                      <w:szCs w:val="24"/>
                      <w:lang w:val="en-US"/>
                    </w:rPr>
                  </w:pPr>
                  <w:r w:rsidRPr="005F1FAF">
                    <w:rPr>
                      <w:sz w:val="24"/>
                      <w:szCs w:val="24"/>
                      <w:lang w:val="en-US"/>
                    </w:rPr>
                    <w:t>382.872,96</w:t>
                  </w:r>
                </w:p>
              </w:tc>
              <w:tc>
                <w:tcPr>
                  <w:tcW w:w="2280" w:type="dxa"/>
                  <w:shd w:val="clear" w:color="auto" w:fill="auto"/>
                  <w:vAlign w:val="center"/>
                  <w:hideMark/>
                </w:tcPr>
                <w:p w:rsidR="00632702" w:rsidRPr="005F1FAF" w:rsidRDefault="00632702" w:rsidP="00B0425D">
                  <w:pPr>
                    <w:jc w:val="center"/>
                    <w:rPr>
                      <w:sz w:val="24"/>
                      <w:szCs w:val="24"/>
                      <w:lang w:val="en-US"/>
                    </w:rPr>
                  </w:pPr>
                  <w:r w:rsidRPr="005F1FAF">
                    <w:rPr>
                      <w:sz w:val="24"/>
                      <w:szCs w:val="24"/>
                      <w:lang w:val="en-US"/>
                    </w:rPr>
                    <w:t>237.062,42</w:t>
                  </w:r>
                </w:p>
              </w:tc>
              <w:tc>
                <w:tcPr>
                  <w:tcW w:w="1710" w:type="dxa"/>
                  <w:shd w:val="clear" w:color="auto" w:fill="auto"/>
                  <w:noWrap/>
                  <w:vAlign w:val="bottom"/>
                  <w:hideMark/>
                </w:tcPr>
                <w:p w:rsidR="00632702" w:rsidRPr="005F1FAF" w:rsidRDefault="00632702" w:rsidP="00B0425D">
                  <w:pPr>
                    <w:jc w:val="right"/>
                    <w:rPr>
                      <w:sz w:val="24"/>
                      <w:szCs w:val="24"/>
                      <w:lang w:val="en-US"/>
                    </w:rPr>
                  </w:pPr>
                  <w:r w:rsidRPr="005F1FAF">
                    <w:rPr>
                      <w:sz w:val="24"/>
                      <w:szCs w:val="24"/>
                      <w:lang w:val="en-US"/>
                    </w:rPr>
                    <w:t>145.810,54</w:t>
                  </w:r>
                </w:p>
              </w:tc>
            </w:tr>
            <w:tr w:rsidR="00DE00E8" w:rsidRPr="005F1FAF" w:rsidTr="0030115B">
              <w:trPr>
                <w:trHeight w:val="300"/>
                <w:jc w:val="center"/>
              </w:trPr>
              <w:tc>
                <w:tcPr>
                  <w:tcW w:w="600" w:type="dxa"/>
                  <w:vMerge w:val="restart"/>
                  <w:shd w:val="clear" w:color="000000" w:fill="FFFFFF"/>
                  <w:vAlign w:val="center"/>
                </w:tcPr>
                <w:p w:rsidR="00DE00E8" w:rsidRPr="005F1FAF" w:rsidRDefault="00DE00E8" w:rsidP="00B0425D">
                  <w:pPr>
                    <w:jc w:val="center"/>
                    <w:rPr>
                      <w:sz w:val="24"/>
                      <w:szCs w:val="24"/>
                      <w:lang w:val="en-US"/>
                    </w:rPr>
                  </w:pPr>
                  <w:r w:rsidRPr="005F1FAF">
                    <w:rPr>
                      <w:sz w:val="24"/>
                      <w:szCs w:val="24"/>
                      <w:lang w:val="en-US"/>
                    </w:rPr>
                    <w:t>14</w:t>
                  </w:r>
                </w:p>
              </w:tc>
              <w:tc>
                <w:tcPr>
                  <w:tcW w:w="1350" w:type="dxa"/>
                  <w:shd w:val="clear" w:color="000000" w:fill="FFFFFF"/>
                  <w:vAlign w:val="center"/>
                  <w:hideMark/>
                </w:tcPr>
                <w:p w:rsidR="00DE00E8" w:rsidRPr="005F1FAF" w:rsidRDefault="00DE00E8" w:rsidP="00B0425D">
                  <w:pPr>
                    <w:jc w:val="center"/>
                    <w:rPr>
                      <w:sz w:val="24"/>
                      <w:szCs w:val="24"/>
                      <w:lang w:val="en-US"/>
                    </w:rPr>
                  </w:pPr>
                  <w:r w:rsidRPr="005F1FAF">
                    <w:rPr>
                      <w:sz w:val="24"/>
                      <w:szCs w:val="24"/>
                      <w:lang w:val="en-US"/>
                    </w:rPr>
                    <w:t>93</w:t>
                  </w:r>
                </w:p>
              </w:tc>
              <w:tc>
                <w:tcPr>
                  <w:tcW w:w="1590" w:type="dxa"/>
                  <w:shd w:val="clear" w:color="auto" w:fill="auto"/>
                  <w:vAlign w:val="center"/>
                  <w:hideMark/>
                </w:tcPr>
                <w:p w:rsidR="00DE00E8" w:rsidRPr="005F1FAF" w:rsidRDefault="00DE00E8" w:rsidP="00B0425D">
                  <w:pPr>
                    <w:jc w:val="center"/>
                    <w:rPr>
                      <w:sz w:val="24"/>
                      <w:szCs w:val="24"/>
                      <w:lang w:val="en-US"/>
                    </w:rPr>
                  </w:pPr>
                  <w:r w:rsidRPr="005F1FAF">
                    <w:rPr>
                      <w:color w:val="000000"/>
                      <w:sz w:val="24"/>
                      <w:szCs w:val="24"/>
                    </w:rPr>
                    <w:t>2.053.116,53</w:t>
                  </w:r>
                </w:p>
              </w:tc>
              <w:tc>
                <w:tcPr>
                  <w:tcW w:w="2280" w:type="dxa"/>
                  <w:vMerge w:val="restart"/>
                  <w:shd w:val="clear" w:color="auto" w:fill="auto"/>
                  <w:vAlign w:val="center"/>
                  <w:hideMark/>
                </w:tcPr>
                <w:p w:rsidR="00DE00E8" w:rsidRPr="005F1FAF" w:rsidRDefault="00DE00E8" w:rsidP="00B0425D">
                  <w:pPr>
                    <w:jc w:val="center"/>
                    <w:rPr>
                      <w:sz w:val="24"/>
                      <w:szCs w:val="24"/>
                      <w:lang w:val="en-US"/>
                    </w:rPr>
                  </w:pPr>
                  <w:r w:rsidRPr="005F1FAF">
                    <w:rPr>
                      <w:sz w:val="24"/>
                      <w:szCs w:val="24"/>
                      <w:lang w:val="en-US"/>
                    </w:rPr>
                    <w:t>2.536.039,96</w:t>
                  </w:r>
                </w:p>
              </w:tc>
              <w:tc>
                <w:tcPr>
                  <w:tcW w:w="1710" w:type="dxa"/>
                  <w:vMerge w:val="restart"/>
                  <w:shd w:val="clear" w:color="auto" w:fill="auto"/>
                  <w:noWrap/>
                  <w:vAlign w:val="center"/>
                  <w:hideMark/>
                </w:tcPr>
                <w:p w:rsidR="00DE00E8" w:rsidRPr="005F1FAF" w:rsidRDefault="00DE00E8" w:rsidP="00B0425D">
                  <w:pPr>
                    <w:jc w:val="right"/>
                    <w:rPr>
                      <w:sz w:val="24"/>
                      <w:szCs w:val="24"/>
                      <w:lang w:val="en-US"/>
                    </w:rPr>
                  </w:pPr>
                  <w:r w:rsidRPr="005F1FAF">
                    <w:rPr>
                      <w:sz w:val="24"/>
                      <w:szCs w:val="24"/>
                      <w:lang w:val="en-US"/>
                    </w:rPr>
                    <w:t>-482.170,59</w:t>
                  </w:r>
                </w:p>
              </w:tc>
            </w:tr>
            <w:tr w:rsidR="00DE00E8" w:rsidRPr="005F1FAF" w:rsidTr="0030115B">
              <w:trPr>
                <w:trHeight w:val="300"/>
                <w:jc w:val="center"/>
              </w:trPr>
              <w:tc>
                <w:tcPr>
                  <w:tcW w:w="600" w:type="dxa"/>
                  <w:vMerge/>
                  <w:shd w:val="clear" w:color="000000" w:fill="FFFFFF"/>
                </w:tcPr>
                <w:p w:rsidR="00DE00E8" w:rsidRPr="005F1FAF" w:rsidRDefault="00DE00E8" w:rsidP="00B0425D">
                  <w:pPr>
                    <w:jc w:val="center"/>
                    <w:rPr>
                      <w:sz w:val="24"/>
                      <w:szCs w:val="24"/>
                      <w:lang w:val="en-US"/>
                    </w:rPr>
                  </w:pPr>
                </w:p>
              </w:tc>
              <w:tc>
                <w:tcPr>
                  <w:tcW w:w="1350" w:type="dxa"/>
                  <w:shd w:val="clear" w:color="000000" w:fill="FFFFFF"/>
                  <w:vAlign w:val="center"/>
                </w:tcPr>
                <w:p w:rsidR="00DE00E8" w:rsidRPr="005F1FAF" w:rsidRDefault="00DE00E8" w:rsidP="00B0425D">
                  <w:pPr>
                    <w:jc w:val="center"/>
                    <w:rPr>
                      <w:sz w:val="24"/>
                      <w:szCs w:val="24"/>
                      <w:lang w:val="en-US"/>
                    </w:rPr>
                  </w:pPr>
                  <w:r w:rsidRPr="005F1FAF">
                    <w:rPr>
                      <w:sz w:val="24"/>
                      <w:szCs w:val="24"/>
                      <w:lang w:val="en-US"/>
                    </w:rPr>
                    <w:t>227</w:t>
                  </w:r>
                </w:p>
              </w:tc>
              <w:tc>
                <w:tcPr>
                  <w:tcW w:w="1590" w:type="dxa"/>
                  <w:shd w:val="clear" w:color="auto" w:fill="auto"/>
                  <w:vAlign w:val="center"/>
                </w:tcPr>
                <w:p w:rsidR="00DE00E8" w:rsidRPr="005F1FAF" w:rsidRDefault="00DE00E8" w:rsidP="00B0425D">
                  <w:pPr>
                    <w:jc w:val="center"/>
                    <w:rPr>
                      <w:sz w:val="24"/>
                      <w:szCs w:val="24"/>
                      <w:lang w:val="en-US"/>
                    </w:rPr>
                  </w:pPr>
                  <w:r w:rsidRPr="005F1FAF">
                    <w:rPr>
                      <w:color w:val="000000"/>
                      <w:sz w:val="24"/>
                      <w:szCs w:val="24"/>
                    </w:rPr>
                    <w:t>752,84</w:t>
                  </w:r>
                </w:p>
              </w:tc>
              <w:tc>
                <w:tcPr>
                  <w:tcW w:w="2280" w:type="dxa"/>
                  <w:vMerge/>
                  <w:shd w:val="clear" w:color="auto" w:fill="auto"/>
                  <w:vAlign w:val="center"/>
                </w:tcPr>
                <w:p w:rsidR="00DE00E8" w:rsidRPr="005F1FAF" w:rsidRDefault="00DE00E8" w:rsidP="00B0425D">
                  <w:pPr>
                    <w:jc w:val="center"/>
                    <w:rPr>
                      <w:sz w:val="24"/>
                      <w:szCs w:val="24"/>
                      <w:lang w:val="en-US"/>
                    </w:rPr>
                  </w:pPr>
                </w:p>
              </w:tc>
              <w:tc>
                <w:tcPr>
                  <w:tcW w:w="1710" w:type="dxa"/>
                  <w:vMerge/>
                  <w:shd w:val="clear" w:color="auto" w:fill="auto"/>
                  <w:noWrap/>
                  <w:vAlign w:val="bottom"/>
                </w:tcPr>
                <w:p w:rsidR="00DE00E8" w:rsidRPr="005F1FAF" w:rsidRDefault="00DE00E8" w:rsidP="00B0425D">
                  <w:pPr>
                    <w:jc w:val="center"/>
                    <w:rPr>
                      <w:sz w:val="24"/>
                      <w:szCs w:val="24"/>
                    </w:rPr>
                  </w:pPr>
                </w:p>
              </w:tc>
            </w:tr>
            <w:tr w:rsidR="00632702" w:rsidRPr="005F1FAF" w:rsidTr="0030115B">
              <w:trPr>
                <w:trHeight w:val="300"/>
                <w:jc w:val="center"/>
              </w:trPr>
              <w:tc>
                <w:tcPr>
                  <w:tcW w:w="600" w:type="dxa"/>
                  <w:shd w:val="clear" w:color="000000" w:fill="FFFFFF"/>
                </w:tcPr>
                <w:p w:rsidR="00632702" w:rsidRPr="005F1FAF" w:rsidRDefault="00DE00E8" w:rsidP="00B0425D">
                  <w:pPr>
                    <w:jc w:val="center"/>
                    <w:rPr>
                      <w:sz w:val="24"/>
                      <w:szCs w:val="24"/>
                      <w:lang w:val="en-US"/>
                    </w:rPr>
                  </w:pPr>
                  <w:r w:rsidRPr="005F1FAF">
                    <w:rPr>
                      <w:sz w:val="24"/>
                      <w:szCs w:val="24"/>
                      <w:lang w:val="en-US"/>
                    </w:rPr>
                    <w:t>15</w:t>
                  </w:r>
                </w:p>
              </w:tc>
              <w:tc>
                <w:tcPr>
                  <w:tcW w:w="1350" w:type="dxa"/>
                  <w:shd w:val="clear" w:color="000000" w:fill="FFFFFF"/>
                  <w:vAlign w:val="center"/>
                  <w:hideMark/>
                </w:tcPr>
                <w:p w:rsidR="00632702" w:rsidRPr="005F1FAF" w:rsidRDefault="00632702" w:rsidP="00B0425D">
                  <w:pPr>
                    <w:jc w:val="center"/>
                    <w:rPr>
                      <w:sz w:val="24"/>
                      <w:szCs w:val="24"/>
                      <w:lang w:val="en-US"/>
                    </w:rPr>
                  </w:pPr>
                  <w:r w:rsidRPr="005F1FAF">
                    <w:rPr>
                      <w:sz w:val="24"/>
                      <w:szCs w:val="24"/>
                      <w:lang w:val="en-US"/>
                    </w:rPr>
                    <w:t>95</w:t>
                  </w:r>
                </w:p>
              </w:tc>
              <w:tc>
                <w:tcPr>
                  <w:tcW w:w="1590" w:type="dxa"/>
                  <w:shd w:val="clear" w:color="auto" w:fill="auto"/>
                  <w:vAlign w:val="center"/>
                  <w:hideMark/>
                </w:tcPr>
                <w:p w:rsidR="00632702" w:rsidRPr="005F1FAF" w:rsidRDefault="00632702" w:rsidP="00B0425D">
                  <w:pPr>
                    <w:jc w:val="center"/>
                    <w:rPr>
                      <w:sz w:val="24"/>
                      <w:szCs w:val="24"/>
                      <w:lang w:val="en-US"/>
                    </w:rPr>
                  </w:pPr>
                  <w:r w:rsidRPr="005F1FAF">
                    <w:rPr>
                      <w:sz w:val="24"/>
                      <w:szCs w:val="24"/>
                      <w:lang w:val="en-US"/>
                    </w:rPr>
                    <w:t>289.010,20</w:t>
                  </w:r>
                </w:p>
              </w:tc>
              <w:tc>
                <w:tcPr>
                  <w:tcW w:w="2280" w:type="dxa"/>
                  <w:shd w:val="clear" w:color="auto" w:fill="auto"/>
                  <w:vAlign w:val="center"/>
                  <w:hideMark/>
                </w:tcPr>
                <w:p w:rsidR="00632702" w:rsidRPr="005F1FAF" w:rsidRDefault="00632702" w:rsidP="00B0425D">
                  <w:pPr>
                    <w:jc w:val="center"/>
                    <w:rPr>
                      <w:sz w:val="24"/>
                      <w:szCs w:val="24"/>
                      <w:lang w:val="en-US"/>
                    </w:rPr>
                  </w:pPr>
                  <w:r w:rsidRPr="005F1FAF">
                    <w:rPr>
                      <w:sz w:val="24"/>
                      <w:szCs w:val="24"/>
                      <w:lang w:val="en-US"/>
                    </w:rPr>
                    <w:t>221.354,00</w:t>
                  </w:r>
                </w:p>
              </w:tc>
              <w:tc>
                <w:tcPr>
                  <w:tcW w:w="1710" w:type="dxa"/>
                  <w:shd w:val="clear" w:color="auto" w:fill="auto"/>
                  <w:noWrap/>
                  <w:vAlign w:val="bottom"/>
                  <w:hideMark/>
                </w:tcPr>
                <w:p w:rsidR="00632702" w:rsidRPr="005F1FAF" w:rsidRDefault="00632702" w:rsidP="00B0425D">
                  <w:pPr>
                    <w:jc w:val="right"/>
                    <w:rPr>
                      <w:sz w:val="24"/>
                      <w:szCs w:val="24"/>
                      <w:lang w:val="en-US"/>
                    </w:rPr>
                  </w:pPr>
                  <w:r w:rsidRPr="005F1FAF">
                    <w:rPr>
                      <w:sz w:val="24"/>
                      <w:szCs w:val="24"/>
                      <w:lang w:val="en-US"/>
                    </w:rPr>
                    <w:t>67.656,20</w:t>
                  </w:r>
                </w:p>
              </w:tc>
            </w:tr>
            <w:tr w:rsidR="00632702" w:rsidRPr="005F1FAF" w:rsidTr="0030115B">
              <w:trPr>
                <w:trHeight w:val="300"/>
                <w:jc w:val="center"/>
              </w:trPr>
              <w:tc>
                <w:tcPr>
                  <w:tcW w:w="600" w:type="dxa"/>
                  <w:shd w:val="clear" w:color="000000" w:fill="FFFFFF"/>
                </w:tcPr>
                <w:p w:rsidR="00632702" w:rsidRPr="005F1FAF" w:rsidRDefault="00DE00E8" w:rsidP="00B0425D">
                  <w:pPr>
                    <w:jc w:val="center"/>
                    <w:rPr>
                      <w:sz w:val="24"/>
                      <w:szCs w:val="24"/>
                      <w:lang w:val="en-US"/>
                    </w:rPr>
                  </w:pPr>
                  <w:r w:rsidRPr="005F1FAF">
                    <w:rPr>
                      <w:sz w:val="24"/>
                      <w:szCs w:val="24"/>
                      <w:lang w:val="en-US"/>
                    </w:rPr>
                    <w:t>16</w:t>
                  </w:r>
                </w:p>
              </w:tc>
              <w:tc>
                <w:tcPr>
                  <w:tcW w:w="1350" w:type="dxa"/>
                  <w:shd w:val="clear" w:color="000000" w:fill="FFFFFF"/>
                  <w:vAlign w:val="center"/>
                  <w:hideMark/>
                </w:tcPr>
                <w:p w:rsidR="00632702" w:rsidRPr="005F1FAF" w:rsidRDefault="00632702" w:rsidP="00B0425D">
                  <w:pPr>
                    <w:jc w:val="center"/>
                    <w:rPr>
                      <w:sz w:val="24"/>
                      <w:szCs w:val="24"/>
                      <w:lang w:val="en-US"/>
                    </w:rPr>
                  </w:pPr>
                  <w:r w:rsidRPr="005F1FAF">
                    <w:rPr>
                      <w:sz w:val="24"/>
                      <w:szCs w:val="24"/>
                      <w:lang w:val="en-US"/>
                    </w:rPr>
                    <w:t>97</w:t>
                  </w:r>
                </w:p>
              </w:tc>
              <w:tc>
                <w:tcPr>
                  <w:tcW w:w="1590" w:type="dxa"/>
                  <w:shd w:val="clear" w:color="auto" w:fill="auto"/>
                  <w:vAlign w:val="center"/>
                  <w:hideMark/>
                </w:tcPr>
                <w:p w:rsidR="00632702" w:rsidRPr="005F1FAF" w:rsidRDefault="00632702" w:rsidP="00B0425D">
                  <w:pPr>
                    <w:jc w:val="center"/>
                    <w:rPr>
                      <w:sz w:val="24"/>
                      <w:szCs w:val="24"/>
                      <w:lang w:val="en-US"/>
                    </w:rPr>
                  </w:pPr>
                  <w:r w:rsidRPr="005F1FAF">
                    <w:rPr>
                      <w:sz w:val="24"/>
                      <w:szCs w:val="24"/>
                      <w:lang w:val="en-US"/>
                    </w:rPr>
                    <w:t>40.327,66</w:t>
                  </w:r>
                </w:p>
              </w:tc>
              <w:tc>
                <w:tcPr>
                  <w:tcW w:w="2280" w:type="dxa"/>
                  <w:shd w:val="clear" w:color="auto" w:fill="auto"/>
                  <w:vAlign w:val="center"/>
                  <w:hideMark/>
                </w:tcPr>
                <w:p w:rsidR="00632702" w:rsidRPr="005F1FAF" w:rsidRDefault="00632702" w:rsidP="00B0425D">
                  <w:pPr>
                    <w:jc w:val="center"/>
                    <w:rPr>
                      <w:sz w:val="24"/>
                      <w:szCs w:val="24"/>
                      <w:lang w:val="en-US"/>
                    </w:rPr>
                  </w:pPr>
                  <w:r w:rsidRPr="005F1FAF">
                    <w:rPr>
                      <w:sz w:val="24"/>
                      <w:szCs w:val="24"/>
                      <w:lang w:val="en-US"/>
                    </w:rPr>
                    <w:t>336.481,02</w:t>
                  </w:r>
                </w:p>
              </w:tc>
              <w:tc>
                <w:tcPr>
                  <w:tcW w:w="1710" w:type="dxa"/>
                  <w:shd w:val="clear" w:color="auto" w:fill="auto"/>
                  <w:noWrap/>
                  <w:vAlign w:val="bottom"/>
                  <w:hideMark/>
                </w:tcPr>
                <w:p w:rsidR="00632702" w:rsidRPr="005F1FAF" w:rsidRDefault="00632702" w:rsidP="00B0425D">
                  <w:pPr>
                    <w:jc w:val="right"/>
                    <w:rPr>
                      <w:sz w:val="24"/>
                      <w:szCs w:val="24"/>
                      <w:lang w:val="en-US"/>
                    </w:rPr>
                  </w:pPr>
                  <w:r w:rsidRPr="005F1FAF">
                    <w:rPr>
                      <w:sz w:val="24"/>
                      <w:szCs w:val="24"/>
                      <w:lang w:val="en-US"/>
                    </w:rPr>
                    <w:t>296.153,36</w:t>
                  </w:r>
                </w:p>
              </w:tc>
            </w:tr>
            <w:tr w:rsidR="00632702" w:rsidRPr="005F1FAF" w:rsidTr="0030115B">
              <w:trPr>
                <w:trHeight w:val="300"/>
                <w:jc w:val="center"/>
              </w:trPr>
              <w:tc>
                <w:tcPr>
                  <w:tcW w:w="600" w:type="dxa"/>
                  <w:shd w:val="clear" w:color="000000" w:fill="FFFFFF"/>
                </w:tcPr>
                <w:p w:rsidR="00632702" w:rsidRPr="005F1FAF" w:rsidRDefault="00DE00E8" w:rsidP="00B0425D">
                  <w:pPr>
                    <w:jc w:val="center"/>
                    <w:rPr>
                      <w:sz w:val="24"/>
                      <w:szCs w:val="24"/>
                      <w:lang w:val="en-US"/>
                    </w:rPr>
                  </w:pPr>
                  <w:r w:rsidRPr="005F1FAF">
                    <w:rPr>
                      <w:sz w:val="24"/>
                      <w:szCs w:val="24"/>
                      <w:lang w:val="en-US"/>
                    </w:rPr>
                    <w:t>17</w:t>
                  </w:r>
                </w:p>
              </w:tc>
              <w:tc>
                <w:tcPr>
                  <w:tcW w:w="1350" w:type="dxa"/>
                  <w:shd w:val="clear" w:color="000000" w:fill="FFFFFF"/>
                  <w:vAlign w:val="center"/>
                  <w:hideMark/>
                </w:tcPr>
                <w:p w:rsidR="00632702" w:rsidRPr="005F1FAF" w:rsidRDefault="00632702" w:rsidP="00B0425D">
                  <w:pPr>
                    <w:jc w:val="center"/>
                    <w:rPr>
                      <w:sz w:val="24"/>
                      <w:szCs w:val="24"/>
                      <w:lang w:val="en-US"/>
                    </w:rPr>
                  </w:pPr>
                  <w:r w:rsidRPr="005F1FAF">
                    <w:rPr>
                      <w:sz w:val="24"/>
                      <w:szCs w:val="24"/>
                      <w:lang w:val="en-US"/>
                    </w:rPr>
                    <w:t>100</w:t>
                  </w:r>
                </w:p>
              </w:tc>
              <w:tc>
                <w:tcPr>
                  <w:tcW w:w="1590" w:type="dxa"/>
                  <w:shd w:val="clear" w:color="auto" w:fill="auto"/>
                  <w:vAlign w:val="center"/>
                  <w:hideMark/>
                </w:tcPr>
                <w:p w:rsidR="00632702" w:rsidRPr="005F1FAF" w:rsidRDefault="00632702" w:rsidP="00B0425D">
                  <w:pPr>
                    <w:jc w:val="center"/>
                    <w:rPr>
                      <w:sz w:val="24"/>
                      <w:szCs w:val="24"/>
                      <w:lang w:val="en-US"/>
                    </w:rPr>
                  </w:pPr>
                  <w:r w:rsidRPr="005F1FAF">
                    <w:rPr>
                      <w:sz w:val="24"/>
                      <w:szCs w:val="24"/>
                      <w:lang w:val="en-US"/>
                    </w:rPr>
                    <w:t>133.250,40</w:t>
                  </w:r>
                </w:p>
              </w:tc>
              <w:tc>
                <w:tcPr>
                  <w:tcW w:w="2280" w:type="dxa"/>
                  <w:shd w:val="clear" w:color="auto" w:fill="auto"/>
                  <w:vAlign w:val="center"/>
                  <w:hideMark/>
                </w:tcPr>
                <w:p w:rsidR="00632702" w:rsidRPr="005F1FAF" w:rsidRDefault="00632702" w:rsidP="00B0425D">
                  <w:pPr>
                    <w:jc w:val="center"/>
                    <w:rPr>
                      <w:sz w:val="24"/>
                      <w:szCs w:val="24"/>
                      <w:lang w:val="en-US"/>
                    </w:rPr>
                  </w:pPr>
                  <w:r w:rsidRPr="005F1FAF">
                    <w:rPr>
                      <w:sz w:val="24"/>
                      <w:szCs w:val="24"/>
                      <w:lang w:val="en-US"/>
                    </w:rPr>
                    <w:t>173.749,60</w:t>
                  </w:r>
                </w:p>
              </w:tc>
              <w:tc>
                <w:tcPr>
                  <w:tcW w:w="1710" w:type="dxa"/>
                  <w:shd w:val="clear" w:color="auto" w:fill="auto"/>
                  <w:noWrap/>
                  <w:vAlign w:val="bottom"/>
                  <w:hideMark/>
                </w:tcPr>
                <w:p w:rsidR="00632702" w:rsidRPr="005F1FAF" w:rsidRDefault="00083C9A" w:rsidP="00B0425D">
                  <w:pPr>
                    <w:jc w:val="right"/>
                    <w:rPr>
                      <w:sz w:val="24"/>
                      <w:szCs w:val="24"/>
                      <w:lang w:val="en-US"/>
                    </w:rPr>
                  </w:pPr>
                  <w:r w:rsidRPr="005F1FAF">
                    <w:rPr>
                      <w:sz w:val="24"/>
                      <w:szCs w:val="24"/>
                      <w:lang w:val="en-US"/>
                    </w:rPr>
                    <w:t>-</w:t>
                  </w:r>
                  <w:r w:rsidR="00632702" w:rsidRPr="005F1FAF">
                    <w:rPr>
                      <w:sz w:val="24"/>
                      <w:szCs w:val="24"/>
                      <w:lang w:val="en-US"/>
                    </w:rPr>
                    <w:t>40.499,20</w:t>
                  </w:r>
                </w:p>
              </w:tc>
            </w:tr>
            <w:tr w:rsidR="00632702" w:rsidRPr="005F1FAF" w:rsidTr="0030115B">
              <w:trPr>
                <w:trHeight w:val="300"/>
                <w:jc w:val="center"/>
              </w:trPr>
              <w:tc>
                <w:tcPr>
                  <w:tcW w:w="600" w:type="dxa"/>
                  <w:shd w:val="clear" w:color="000000" w:fill="FFFFFF"/>
                </w:tcPr>
                <w:p w:rsidR="00632702" w:rsidRPr="005F1FAF" w:rsidRDefault="00DE00E8" w:rsidP="00B0425D">
                  <w:pPr>
                    <w:jc w:val="center"/>
                    <w:rPr>
                      <w:sz w:val="24"/>
                      <w:szCs w:val="24"/>
                      <w:lang w:val="en-US"/>
                    </w:rPr>
                  </w:pPr>
                  <w:r w:rsidRPr="005F1FAF">
                    <w:rPr>
                      <w:sz w:val="24"/>
                      <w:szCs w:val="24"/>
                      <w:lang w:val="en-US"/>
                    </w:rPr>
                    <w:t>18</w:t>
                  </w:r>
                </w:p>
              </w:tc>
              <w:tc>
                <w:tcPr>
                  <w:tcW w:w="1350" w:type="dxa"/>
                  <w:shd w:val="clear" w:color="000000" w:fill="FFFFFF"/>
                  <w:vAlign w:val="center"/>
                  <w:hideMark/>
                </w:tcPr>
                <w:p w:rsidR="00632702" w:rsidRPr="005F1FAF" w:rsidRDefault="00632702" w:rsidP="00B0425D">
                  <w:pPr>
                    <w:jc w:val="center"/>
                    <w:rPr>
                      <w:sz w:val="24"/>
                      <w:szCs w:val="24"/>
                      <w:lang w:val="en-US"/>
                    </w:rPr>
                  </w:pPr>
                  <w:r w:rsidRPr="005F1FAF">
                    <w:rPr>
                      <w:sz w:val="24"/>
                      <w:szCs w:val="24"/>
                      <w:lang w:val="en-US"/>
                    </w:rPr>
                    <w:t>101</w:t>
                  </w:r>
                </w:p>
              </w:tc>
              <w:tc>
                <w:tcPr>
                  <w:tcW w:w="1590" w:type="dxa"/>
                  <w:shd w:val="clear" w:color="auto" w:fill="auto"/>
                  <w:vAlign w:val="center"/>
                  <w:hideMark/>
                </w:tcPr>
                <w:p w:rsidR="00632702" w:rsidRPr="005F1FAF" w:rsidRDefault="00632702" w:rsidP="00B0425D">
                  <w:pPr>
                    <w:jc w:val="center"/>
                    <w:rPr>
                      <w:sz w:val="24"/>
                      <w:szCs w:val="24"/>
                      <w:lang w:val="en-US"/>
                    </w:rPr>
                  </w:pPr>
                  <w:r w:rsidRPr="005F1FAF">
                    <w:rPr>
                      <w:sz w:val="24"/>
                      <w:szCs w:val="24"/>
                      <w:lang w:val="en-US"/>
                    </w:rPr>
                    <w:t>10.275,20</w:t>
                  </w:r>
                </w:p>
              </w:tc>
              <w:tc>
                <w:tcPr>
                  <w:tcW w:w="2280" w:type="dxa"/>
                  <w:shd w:val="clear" w:color="auto" w:fill="auto"/>
                  <w:vAlign w:val="center"/>
                  <w:hideMark/>
                </w:tcPr>
                <w:p w:rsidR="00632702" w:rsidRPr="005F1FAF" w:rsidRDefault="00632702" w:rsidP="00B0425D">
                  <w:pPr>
                    <w:jc w:val="center"/>
                    <w:rPr>
                      <w:sz w:val="24"/>
                      <w:szCs w:val="24"/>
                      <w:lang w:val="en-US"/>
                    </w:rPr>
                  </w:pPr>
                  <w:r w:rsidRPr="005F1FAF">
                    <w:rPr>
                      <w:sz w:val="24"/>
                      <w:szCs w:val="24"/>
                      <w:lang w:val="en-US"/>
                    </w:rPr>
                    <w:t>10.647,00</w:t>
                  </w:r>
                </w:p>
              </w:tc>
              <w:tc>
                <w:tcPr>
                  <w:tcW w:w="1710" w:type="dxa"/>
                  <w:shd w:val="clear" w:color="auto" w:fill="auto"/>
                  <w:noWrap/>
                  <w:vAlign w:val="bottom"/>
                  <w:hideMark/>
                </w:tcPr>
                <w:p w:rsidR="00632702" w:rsidRPr="005F1FAF" w:rsidRDefault="00632702" w:rsidP="00B0425D">
                  <w:pPr>
                    <w:jc w:val="right"/>
                    <w:rPr>
                      <w:sz w:val="24"/>
                      <w:szCs w:val="24"/>
                      <w:lang w:val="en-US"/>
                    </w:rPr>
                  </w:pPr>
                  <w:r w:rsidRPr="005F1FAF">
                    <w:rPr>
                      <w:sz w:val="24"/>
                      <w:szCs w:val="24"/>
                      <w:lang w:val="en-US"/>
                    </w:rPr>
                    <w:t>371,80</w:t>
                  </w:r>
                </w:p>
              </w:tc>
            </w:tr>
            <w:tr w:rsidR="00632702" w:rsidRPr="005F1FAF" w:rsidTr="0030115B">
              <w:trPr>
                <w:trHeight w:val="300"/>
                <w:jc w:val="center"/>
              </w:trPr>
              <w:tc>
                <w:tcPr>
                  <w:tcW w:w="600" w:type="dxa"/>
                  <w:shd w:val="clear" w:color="000000" w:fill="FFFFFF"/>
                  <w:vAlign w:val="center"/>
                </w:tcPr>
                <w:p w:rsidR="00632702" w:rsidRPr="005F1FAF" w:rsidRDefault="00DE00E8" w:rsidP="00B0425D">
                  <w:pPr>
                    <w:rPr>
                      <w:sz w:val="24"/>
                      <w:szCs w:val="24"/>
                      <w:lang w:val="en-US"/>
                    </w:rPr>
                  </w:pPr>
                  <w:r w:rsidRPr="005F1FAF">
                    <w:rPr>
                      <w:sz w:val="24"/>
                      <w:szCs w:val="24"/>
                      <w:lang w:val="en-US"/>
                    </w:rPr>
                    <w:t xml:space="preserve"> 19</w:t>
                  </w:r>
                </w:p>
              </w:tc>
              <w:tc>
                <w:tcPr>
                  <w:tcW w:w="1350" w:type="dxa"/>
                  <w:shd w:val="clear" w:color="000000" w:fill="FFFFFF"/>
                  <w:vAlign w:val="center"/>
                  <w:hideMark/>
                </w:tcPr>
                <w:p w:rsidR="00632702" w:rsidRPr="005F1FAF" w:rsidRDefault="00632702" w:rsidP="00B0425D">
                  <w:pPr>
                    <w:jc w:val="center"/>
                    <w:rPr>
                      <w:sz w:val="24"/>
                      <w:szCs w:val="24"/>
                      <w:lang w:val="en-US"/>
                    </w:rPr>
                  </w:pPr>
                  <w:r w:rsidRPr="005F1FAF">
                    <w:rPr>
                      <w:sz w:val="24"/>
                      <w:szCs w:val="24"/>
                      <w:lang w:val="en-US"/>
                    </w:rPr>
                    <w:t>110</w:t>
                  </w:r>
                </w:p>
              </w:tc>
              <w:tc>
                <w:tcPr>
                  <w:tcW w:w="1590" w:type="dxa"/>
                  <w:shd w:val="clear" w:color="auto" w:fill="auto"/>
                  <w:vAlign w:val="center"/>
                  <w:hideMark/>
                </w:tcPr>
                <w:p w:rsidR="00632702" w:rsidRPr="005F1FAF" w:rsidRDefault="00632702" w:rsidP="00B0425D">
                  <w:pPr>
                    <w:jc w:val="center"/>
                    <w:rPr>
                      <w:sz w:val="24"/>
                      <w:szCs w:val="24"/>
                      <w:lang w:val="en-US"/>
                    </w:rPr>
                  </w:pPr>
                  <w:r w:rsidRPr="005F1FAF">
                    <w:rPr>
                      <w:sz w:val="24"/>
                      <w:szCs w:val="24"/>
                      <w:lang w:val="en-US"/>
                    </w:rPr>
                    <w:t>2.206,60</w:t>
                  </w:r>
                </w:p>
              </w:tc>
              <w:tc>
                <w:tcPr>
                  <w:tcW w:w="2280" w:type="dxa"/>
                  <w:shd w:val="clear" w:color="auto" w:fill="auto"/>
                  <w:vAlign w:val="center"/>
                  <w:hideMark/>
                </w:tcPr>
                <w:p w:rsidR="00632702" w:rsidRPr="005F1FAF" w:rsidRDefault="00632702" w:rsidP="00B0425D">
                  <w:pPr>
                    <w:jc w:val="center"/>
                    <w:rPr>
                      <w:sz w:val="24"/>
                      <w:szCs w:val="24"/>
                      <w:lang w:val="en-US"/>
                    </w:rPr>
                  </w:pPr>
                  <w:r w:rsidRPr="005F1FAF">
                    <w:rPr>
                      <w:sz w:val="24"/>
                      <w:szCs w:val="24"/>
                      <w:lang w:val="en-US"/>
                    </w:rPr>
                    <w:t>50.524,00</w:t>
                  </w:r>
                </w:p>
              </w:tc>
              <w:tc>
                <w:tcPr>
                  <w:tcW w:w="1710" w:type="dxa"/>
                  <w:shd w:val="clear" w:color="auto" w:fill="auto"/>
                  <w:noWrap/>
                  <w:vAlign w:val="bottom"/>
                  <w:hideMark/>
                </w:tcPr>
                <w:p w:rsidR="00632702" w:rsidRPr="005F1FAF" w:rsidRDefault="00083C9A" w:rsidP="00B0425D">
                  <w:pPr>
                    <w:jc w:val="right"/>
                    <w:rPr>
                      <w:sz w:val="24"/>
                      <w:szCs w:val="24"/>
                      <w:lang w:val="en-US"/>
                    </w:rPr>
                  </w:pPr>
                  <w:r w:rsidRPr="005F1FAF">
                    <w:rPr>
                      <w:sz w:val="24"/>
                      <w:szCs w:val="24"/>
                      <w:lang w:val="en-US"/>
                    </w:rPr>
                    <w:t>-</w:t>
                  </w:r>
                  <w:r w:rsidR="00632702" w:rsidRPr="005F1FAF">
                    <w:rPr>
                      <w:sz w:val="24"/>
                      <w:szCs w:val="24"/>
                      <w:lang w:val="en-US"/>
                    </w:rPr>
                    <w:t>48.317,40</w:t>
                  </w:r>
                </w:p>
              </w:tc>
            </w:tr>
            <w:tr w:rsidR="00632702" w:rsidRPr="005F1FAF" w:rsidTr="0030115B">
              <w:trPr>
                <w:trHeight w:val="300"/>
                <w:jc w:val="center"/>
              </w:trPr>
              <w:tc>
                <w:tcPr>
                  <w:tcW w:w="600" w:type="dxa"/>
                  <w:shd w:val="clear" w:color="000000" w:fill="FFFFFF"/>
                </w:tcPr>
                <w:p w:rsidR="00632702" w:rsidRPr="005F1FAF" w:rsidRDefault="00DE00E8" w:rsidP="00B0425D">
                  <w:pPr>
                    <w:jc w:val="center"/>
                    <w:rPr>
                      <w:sz w:val="24"/>
                      <w:szCs w:val="24"/>
                      <w:lang w:val="en-US"/>
                    </w:rPr>
                  </w:pPr>
                  <w:r w:rsidRPr="005F1FAF">
                    <w:rPr>
                      <w:sz w:val="24"/>
                      <w:szCs w:val="24"/>
                      <w:lang w:val="en-US"/>
                    </w:rPr>
                    <w:t>20</w:t>
                  </w:r>
                </w:p>
              </w:tc>
              <w:tc>
                <w:tcPr>
                  <w:tcW w:w="1350" w:type="dxa"/>
                  <w:shd w:val="clear" w:color="000000" w:fill="FFFFFF"/>
                  <w:vAlign w:val="center"/>
                  <w:hideMark/>
                </w:tcPr>
                <w:p w:rsidR="00632702" w:rsidRPr="005F1FAF" w:rsidRDefault="00632702" w:rsidP="00B0425D">
                  <w:pPr>
                    <w:jc w:val="center"/>
                    <w:rPr>
                      <w:sz w:val="24"/>
                      <w:szCs w:val="24"/>
                      <w:lang w:val="en-US"/>
                    </w:rPr>
                  </w:pPr>
                  <w:r w:rsidRPr="005F1FAF">
                    <w:rPr>
                      <w:sz w:val="24"/>
                      <w:szCs w:val="24"/>
                      <w:lang w:val="en-US"/>
                    </w:rPr>
                    <w:t>111</w:t>
                  </w:r>
                </w:p>
              </w:tc>
              <w:tc>
                <w:tcPr>
                  <w:tcW w:w="1590" w:type="dxa"/>
                  <w:shd w:val="clear" w:color="auto" w:fill="auto"/>
                  <w:vAlign w:val="center"/>
                  <w:hideMark/>
                </w:tcPr>
                <w:p w:rsidR="00632702" w:rsidRPr="005F1FAF" w:rsidRDefault="00632702" w:rsidP="00B0425D">
                  <w:pPr>
                    <w:jc w:val="center"/>
                    <w:rPr>
                      <w:sz w:val="24"/>
                      <w:szCs w:val="24"/>
                      <w:lang w:val="en-US"/>
                    </w:rPr>
                  </w:pPr>
                  <w:r w:rsidRPr="005F1FAF">
                    <w:rPr>
                      <w:sz w:val="24"/>
                      <w:szCs w:val="24"/>
                      <w:lang w:val="en-US"/>
                    </w:rPr>
                    <w:t>69.551,49</w:t>
                  </w:r>
                </w:p>
              </w:tc>
              <w:tc>
                <w:tcPr>
                  <w:tcW w:w="2280" w:type="dxa"/>
                  <w:shd w:val="clear" w:color="auto" w:fill="auto"/>
                  <w:vAlign w:val="center"/>
                  <w:hideMark/>
                </w:tcPr>
                <w:p w:rsidR="00632702" w:rsidRPr="005F1FAF" w:rsidRDefault="00632702" w:rsidP="00B0425D">
                  <w:pPr>
                    <w:jc w:val="center"/>
                    <w:rPr>
                      <w:sz w:val="24"/>
                      <w:szCs w:val="24"/>
                      <w:lang w:val="en-US"/>
                    </w:rPr>
                  </w:pPr>
                  <w:r w:rsidRPr="005F1FAF">
                    <w:rPr>
                      <w:sz w:val="24"/>
                      <w:szCs w:val="24"/>
                      <w:lang w:val="en-US"/>
                    </w:rPr>
                    <w:t>72.775,88</w:t>
                  </w:r>
                </w:p>
              </w:tc>
              <w:tc>
                <w:tcPr>
                  <w:tcW w:w="1710" w:type="dxa"/>
                  <w:shd w:val="clear" w:color="auto" w:fill="auto"/>
                  <w:noWrap/>
                  <w:vAlign w:val="bottom"/>
                  <w:hideMark/>
                </w:tcPr>
                <w:p w:rsidR="00632702" w:rsidRPr="005F1FAF" w:rsidRDefault="00083C9A" w:rsidP="00B0425D">
                  <w:pPr>
                    <w:jc w:val="right"/>
                    <w:rPr>
                      <w:sz w:val="24"/>
                      <w:szCs w:val="24"/>
                      <w:lang w:val="en-US"/>
                    </w:rPr>
                  </w:pPr>
                  <w:r w:rsidRPr="005F1FAF">
                    <w:rPr>
                      <w:sz w:val="24"/>
                      <w:szCs w:val="24"/>
                      <w:lang w:val="en-US"/>
                    </w:rPr>
                    <w:t>-</w:t>
                  </w:r>
                  <w:r w:rsidR="00632702" w:rsidRPr="005F1FAF">
                    <w:rPr>
                      <w:sz w:val="24"/>
                      <w:szCs w:val="24"/>
                      <w:lang w:val="en-US"/>
                    </w:rPr>
                    <w:t>3.224,39</w:t>
                  </w:r>
                </w:p>
              </w:tc>
            </w:tr>
            <w:tr w:rsidR="00DE00E8" w:rsidRPr="005F1FAF" w:rsidTr="0030115B">
              <w:trPr>
                <w:trHeight w:val="300"/>
                <w:jc w:val="center"/>
              </w:trPr>
              <w:tc>
                <w:tcPr>
                  <w:tcW w:w="600" w:type="dxa"/>
                  <w:vMerge w:val="restart"/>
                  <w:shd w:val="clear" w:color="000000" w:fill="FFFFFF"/>
                  <w:vAlign w:val="center"/>
                </w:tcPr>
                <w:p w:rsidR="00DE00E8" w:rsidRPr="005F1FAF" w:rsidRDefault="00DE00E8" w:rsidP="00B0425D">
                  <w:pPr>
                    <w:jc w:val="center"/>
                    <w:rPr>
                      <w:sz w:val="24"/>
                      <w:szCs w:val="24"/>
                      <w:lang w:val="en-US"/>
                    </w:rPr>
                  </w:pPr>
                  <w:r w:rsidRPr="005F1FAF">
                    <w:rPr>
                      <w:sz w:val="24"/>
                      <w:szCs w:val="24"/>
                      <w:lang w:val="en-US"/>
                    </w:rPr>
                    <w:t>22</w:t>
                  </w:r>
                </w:p>
              </w:tc>
              <w:tc>
                <w:tcPr>
                  <w:tcW w:w="1350" w:type="dxa"/>
                  <w:shd w:val="clear" w:color="000000" w:fill="FFFFFF"/>
                  <w:vAlign w:val="center"/>
                  <w:hideMark/>
                </w:tcPr>
                <w:p w:rsidR="00DE00E8" w:rsidRPr="005F1FAF" w:rsidRDefault="00DE00E8" w:rsidP="00B0425D">
                  <w:pPr>
                    <w:jc w:val="center"/>
                    <w:rPr>
                      <w:sz w:val="24"/>
                      <w:szCs w:val="24"/>
                      <w:lang w:val="en-US"/>
                    </w:rPr>
                  </w:pPr>
                  <w:r w:rsidRPr="005F1FAF">
                    <w:rPr>
                      <w:sz w:val="24"/>
                      <w:szCs w:val="24"/>
                      <w:lang w:val="en-US"/>
                    </w:rPr>
                    <w:t>114</w:t>
                  </w:r>
                </w:p>
                <w:p w:rsidR="00DE00E8" w:rsidRPr="005F1FAF" w:rsidRDefault="00DE00E8" w:rsidP="00B0425D">
                  <w:pPr>
                    <w:jc w:val="center"/>
                    <w:rPr>
                      <w:sz w:val="16"/>
                      <w:szCs w:val="16"/>
                      <w:lang w:val="en-US"/>
                    </w:rPr>
                  </w:pPr>
                </w:p>
              </w:tc>
              <w:tc>
                <w:tcPr>
                  <w:tcW w:w="1590" w:type="dxa"/>
                  <w:shd w:val="clear" w:color="auto" w:fill="auto"/>
                  <w:vAlign w:val="center"/>
                  <w:hideMark/>
                </w:tcPr>
                <w:p w:rsidR="00DE00E8" w:rsidRPr="005F1FAF" w:rsidRDefault="00DE00E8" w:rsidP="00B0425D">
                  <w:pPr>
                    <w:jc w:val="center"/>
                    <w:rPr>
                      <w:sz w:val="24"/>
                      <w:szCs w:val="24"/>
                      <w:lang w:val="en-US"/>
                    </w:rPr>
                  </w:pPr>
                  <w:r w:rsidRPr="005F1FAF">
                    <w:rPr>
                      <w:color w:val="000000"/>
                      <w:sz w:val="24"/>
                      <w:szCs w:val="24"/>
                    </w:rPr>
                    <w:t>2.005,92</w:t>
                  </w:r>
                </w:p>
              </w:tc>
              <w:tc>
                <w:tcPr>
                  <w:tcW w:w="2280" w:type="dxa"/>
                  <w:vMerge w:val="restart"/>
                  <w:shd w:val="clear" w:color="auto" w:fill="auto"/>
                  <w:vAlign w:val="center"/>
                  <w:hideMark/>
                </w:tcPr>
                <w:p w:rsidR="00DE00E8" w:rsidRPr="005F1FAF" w:rsidRDefault="00DE00E8" w:rsidP="00B0425D">
                  <w:pPr>
                    <w:jc w:val="center"/>
                    <w:rPr>
                      <w:sz w:val="24"/>
                      <w:szCs w:val="24"/>
                      <w:lang w:val="en-US"/>
                    </w:rPr>
                  </w:pPr>
                  <w:r w:rsidRPr="005F1FAF">
                    <w:rPr>
                      <w:sz w:val="24"/>
                      <w:szCs w:val="24"/>
                      <w:lang w:val="en-US"/>
                    </w:rPr>
                    <w:t>25.370,09</w:t>
                  </w:r>
                </w:p>
              </w:tc>
              <w:tc>
                <w:tcPr>
                  <w:tcW w:w="1710" w:type="dxa"/>
                  <w:vMerge w:val="restart"/>
                  <w:shd w:val="clear" w:color="auto" w:fill="auto"/>
                  <w:noWrap/>
                  <w:vAlign w:val="center"/>
                  <w:hideMark/>
                </w:tcPr>
                <w:p w:rsidR="00DE00E8" w:rsidRPr="005F1FAF" w:rsidRDefault="00DE00E8" w:rsidP="00B0425D">
                  <w:pPr>
                    <w:jc w:val="right"/>
                    <w:rPr>
                      <w:sz w:val="24"/>
                      <w:szCs w:val="24"/>
                      <w:lang w:val="en-US"/>
                    </w:rPr>
                  </w:pPr>
                  <w:r w:rsidRPr="005F1FAF">
                    <w:rPr>
                      <w:sz w:val="24"/>
                      <w:szCs w:val="24"/>
                      <w:lang w:val="en-US"/>
                    </w:rPr>
                    <w:t>-1.684,56</w:t>
                  </w:r>
                </w:p>
              </w:tc>
            </w:tr>
            <w:tr w:rsidR="00DE00E8" w:rsidRPr="005F1FAF" w:rsidTr="0030115B">
              <w:trPr>
                <w:trHeight w:val="300"/>
                <w:jc w:val="center"/>
              </w:trPr>
              <w:tc>
                <w:tcPr>
                  <w:tcW w:w="600" w:type="dxa"/>
                  <w:vMerge/>
                  <w:shd w:val="clear" w:color="000000" w:fill="FFFFFF"/>
                </w:tcPr>
                <w:p w:rsidR="00DE00E8" w:rsidRPr="005F1FAF" w:rsidRDefault="00DE00E8" w:rsidP="00B0425D">
                  <w:pPr>
                    <w:jc w:val="center"/>
                    <w:rPr>
                      <w:sz w:val="24"/>
                      <w:szCs w:val="24"/>
                      <w:lang w:val="en-US"/>
                    </w:rPr>
                  </w:pPr>
                </w:p>
              </w:tc>
              <w:tc>
                <w:tcPr>
                  <w:tcW w:w="1350" w:type="dxa"/>
                  <w:shd w:val="clear" w:color="000000" w:fill="FFFFFF"/>
                  <w:vAlign w:val="center"/>
                </w:tcPr>
                <w:p w:rsidR="00DE00E8" w:rsidRPr="005F1FAF" w:rsidRDefault="00DE00E8" w:rsidP="00B0425D">
                  <w:pPr>
                    <w:jc w:val="center"/>
                    <w:rPr>
                      <w:sz w:val="24"/>
                      <w:szCs w:val="24"/>
                      <w:lang w:val="en-US"/>
                    </w:rPr>
                  </w:pPr>
                  <w:r w:rsidRPr="005F1FAF">
                    <w:rPr>
                      <w:sz w:val="24"/>
                      <w:szCs w:val="24"/>
                      <w:lang w:val="en-US"/>
                    </w:rPr>
                    <w:t>115</w:t>
                  </w:r>
                </w:p>
              </w:tc>
              <w:tc>
                <w:tcPr>
                  <w:tcW w:w="1590" w:type="dxa"/>
                  <w:shd w:val="clear" w:color="auto" w:fill="auto"/>
                  <w:vAlign w:val="center"/>
                </w:tcPr>
                <w:p w:rsidR="00DE00E8" w:rsidRPr="005F1FAF" w:rsidRDefault="00DE00E8" w:rsidP="00B0425D">
                  <w:pPr>
                    <w:jc w:val="center"/>
                    <w:rPr>
                      <w:sz w:val="24"/>
                      <w:szCs w:val="24"/>
                      <w:lang w:val="en-US"/>
                    </w:rPr>
                  </w:pPr>
                  <w:r w:rsidRPr="005F1FAF">
                    <w:rPr>
                      <w:color w:val="000000"/>
                      <w:sz w:val="24"/>
                      <w:szCs w:val="24"/>
                    </w:rPr>
                    <w:t>21.647,16</w:t>
                  </w:r>
                </w:p>
              </w:tc>
              <w:tc>
                <w:tcPr>
                  <w:tcW w:w="2280" w:type="dxa"/>
                  <w:vMerge/>
                  <w:shd w:val="clear" w:color="auto" w:fill="auto"/>
                  <w:vAlign w:val="center"/>
                </w:tcPr>
                <w:p w:rsidR="00DE00E8" w:rsidRPr="005F1FAF" w:rsidRDefault="00DE00E8" w:rsidP="00B0425D">
                  <w:pPr>
                    <w:jc w:val="center"/>
                    <w:rPr>
                      <w:sz w:val="24"/>
                      <w:szCs w:val="24"/>
                      <w:lang w:val="en-US"/>
                    </w:rPr>
                  </w:pPr>
                </w:p>
              </w:tc>
              <w:tc>
                <w:tcPr>
                  <w:tcW w:w="1710" w:type="dxa"/>
                  <w:vMerge/>
                  <w:shd w:val="clear" w:color="auto" w:fill="auto"/>
                  <w:noWrap/>
                  <w:vAlign w:val="bottom"/>
                </w:tcPr>
                <w:p w:rsidR="00DE00E8" w:rsidRPr="005F1FAF" w:rsidRDefault="00DE00E8" w:rsidP="00B0425D">
                  <w:pPr>
                    <w:jc w:val="right"/>
                    <w:rPr>
                      <w:sz w:val="24"/>
                      <w:szCs w:val="24"/>
                      <w:lang w:val="en-US"/>
                    </w:rPr>
                  </w:pPr>
                </w:p>
              </w:tc>
            </w:tr>
            <w:tr w:rsidR="00DE00E8" w:rsidRPr="005F1FAF" w:rsidTr="0030115B">
              <w:trPr>
                <w:trHeight w:val="300"/>
                <w:jc w:val="center"/>
              </w:trPr>
              <w:tc>
                <w:tcPr>
                  <w:tcW w:w="600" w:type="dxa"/>
                  <w:vMerge/>
                  <w:shd w:val="clear" w:color="000000" w:fill="FFFFFF"/>
                </w:tcPr>
                <w:p w:rsidR="00DE00E8" w:rsidRPr="005F1FAF" w:rsidRDefault="00DE00E8" w:rsidP="00B0425D">
                  <w:pPr>
                    <w:jc w:val="center"/>
                    <w:rPr>
                      <w:sz w:val="24"/>
                      <w:szCs w:val="24"/>
                      <w:lang w:val="en-US"/>
                    </w:rPr>
                  </w:pPr>
                </w:p>
              </w:tc>
              <w:tc>
                <w:tcPr>
                  <w:tcW w:w="1350" w:type="dxa"/>
                  <w:shd w:val="clear" w:color="000000" w:fill="FFFFFF"/>
                  <w:vAlign w:val="center"/>
                </w:tcPr>
                <w:p w:rsidR="00DE00E8" w:rsidRPr="005F1FAF" w:rsidRDefault="00DE00E8" w:rsidP="00B0425D">
                  <w:pPr>
                    <w:jc w:val="center"/>
                    <w:rPr>
                      <w:sz w:val="24"/>
                      <w:szCs w:val="24"/>
                      <w:lang w:val="en-US"/>
                    </w:rPr>
                  </w:pPr>
                  <w:r w:rsidRPr="005F1FAF">
                    <w:rPr>
                      <w:sz w:val="24"/>
                      <w:szCs w:val="24"/>
                      <w:lang w:val="en-US"/>
                    </w:rPr>
                    <w:t>224</w:t>
                  </w:r>
                </w:p>
              </w:tc>
              <w:tc>
                <w:tcPr>
                  <w:tcW w:w="1590" w:type="dxa"/>
                  <w:shd w:val="clear" w:color="auto" w:fill="auto"/>
                  <w:vAlign w:val="center"/>
                </w:tcPr>
                <w:p w:rsidR="00DE00E8" w:rsidRPr="005F1FAF" w:rsidRDefault="00DE00E8" w:rsidP="00B0425D">
                  <w:pPr>
                    <w:jc w:val="center"/>
                    <w:rPr>
                      <w:sz w:val="24"/>
                      <w:szCs w:val="24"/>
                      <w:lang w:val="en-US"/>
                    </w:rPr>
                  </w:pPr>
                  <w:r w:rsidRPr="005F1FAF">
                    <w:rPr>
                      <w:color w:val="000000"/>
                      <w:sz w:val="24"/>
                      <w:szCs w:val="24"/>
                    </w:rPr>
                    <w:t>32,45</w:t>
                  </w:r>
                </w:p>
              </w:tc>
              <w:tc>
                <w:tcPr>
                  <w:tcW w:w="2280" w:type="dxa"/>
                  <w:vMerge/>
                  <w:shd w:val="clear" w:color="auto" w:fill="auto"/>
                  <w:vAlign w:val="center"/>
                </w:tcPr>
                <w:p w:rsidR="00DE00E8" w:rsidRPr="005F1FAF" w:rsidRDefault="00DE00E8" w:rsidP="00B0425D">
                  <w:pPr>
                    <w:jc w:val="center"/>
                    <w:rPr>
                      <w:sz w:val="24"/>
                      <w:szCs w:val="24"/>
                      <w:lang w:val="en-US"/>
                    </w:rPr>
                  </w:pPr>
                </w:p>
              </w:tc>
              <w:tc>
                <w:tcPr>
                  <w:tcW w:w="1710" w:type="dxa"/>
                  <w:vMerge/>
                  <w:shd w:val="clear" w:color="auto" w:fill="auto"/>
                  <w:noWrap/>
                  <w:vAlign w:val="bottom"/>
                </w:tcPr>
                <w:p w:rsidR="00DE00E8" w:rsidRPr="005F1FAF" w:rsidRDefault="00DE00E8" w:rsidP="00B0425D">
                  <w:pPr>
                    <w:jc w:val="right"/>
                    <w:rPr>
                      <w:sz w:val="24"/>
                      <w:szCs w:val="24"/>
                      <w:lang w:val="en-US"/>
                    </w:rPr>
                  </w:pPr>
                </w:p>
              </w:tc>
            </w:tr>
            <w:tr w:rsidR="00632702" w:rsidRPr="005F1FAF" w:rsidTr="0030115B">
              <w:trPr>
                <w:trHeight w:val="300"/>
                <w:jc w:val="center"/>
              </w:trPr>
              <w:tc>
                <w:tcPr>
                  <w:tcW w:w="600" w:type="dxa"/>
                  <w:shd w:val="clear" w:color="000000" w:fill="FFFFFF"/>
                </w:tcPr>
                <w:p w:rsidR="00632702" w:rsidRPr="005F1FAF" w:rsidRDefault="00DE00E8" w:rsidP="00B0425D">
                  <w:pPr>
                    <w:jc w:val="center"/>
                    <w:rPr>
                      <w:sz w:val="24"/>
                      <w:szCs w:val="24"/>
                      <w:lang w:val="en-US"/>
                    </w:rPr>
                  </w:pPr>
                  <w:r w:rsidRPr="005F1FAF">
                    <w:rPr>
                      <w:sz w:val="24"/>
                      <w:szCs w:val="24"/>
                      <w:lang w:val="en-US"/>
                    </w:rPr>
                    <w:t>23</w:t>
                  </w:r>
                </w:p>
              </w:tc>
              <w:tc>
                <w:tcPr>
                  <w:tcW w:w="1350" w:type="dxa"/>
                  <w:shd w:val="clear" w:color="000000" w:fill="FFFFFF"/>
                  <w:vAlign w:val="center"/>
                </w:tcPr>
                <w:p w:rsidR="00632702" w:rsidRPr="005F1FAF" w:rsidRDefault="00632702" w:rsidP="00B0425D">
                  <w:pPr>
                    <w:jc w:val="center"/>
                    <w:rPr>
                      <w:sz w:val="24"/>
                      <w:szCs w:val="24"/>
                      <w:lang w:val="en-US"/>
                    </w:rPr>
                  </w:pPr>
                  <w:r w:rsidRPr="005F1FAF">
                    <w:rPr>
                      <w:sz w:val="24"/>
                      <w:szCs w:val="24"/>
                      <w:lang w:val="en-US"/>
                    </w:rPr>
                    <w:t>117</w:t>
                  </w:r>
                </w:p>
              </w:tc>
              <w:tc>
                <w:tcPr>
                  <w:tcW w:w="1590" w:type="dxa"/>
                  <w:shd w:val="clear" w:color="auto" w:fill="auto"/>
                  <w:vAlign w:val="center"/>
                </w:tcPr>
                <w:p w:rsidR="00632702" w:rsidRPr="005F1FAF" w:rsidRDefault="00632702" w:rsidP="00B0425D">
                  <w:pPr>
                    <w:jc w:val="center"/>
                    <w:rPr>
                      <w:sz w:val="24"/>
                      <w:szCs w:val="24"/>
                      <w:lang w:val="en-US"/>
                    </w:rPr>
                  </w:pPr>
                  <w:r w:rsidRPr="005F1FAF">
                    <w:rPr>
                      <w:sz w:val="24"/>
                      <w:szCs w:val="24"/>
                      <w:lang w:val="en-US"/>
                    </w:rPr>
                    <w:t>6.823,65</w:t>
                  </w:r>
                </w:p>
              </w:tc>
              <w:tc>
                <w:tcPr>
                  <w:tcW w:w="2280" w:type="dxa"/>
                  <w:shd w:val="clear" w:color="auto" w:fill="auto"/>
                  <w:vAlign w:val="center"/>
                </w:tcPr>
                <w:p w:rsidR="00632702" w:rsidRPr="005F1FAF" w:rsidRDefault="00632702" w:rsidP="00B0425D">
                  <w:pPr>
                    <w:jc w:val="center"/>
                    <w:rPr>
                      <w:sz w:val="24"/>
                      <w:szCs w:val="24"/>
                      <w:lang w:val="en-US"/>
                    </w:rPr>
                  </w:pPr>
                  <w:r w:rsidRPr="005F1FAF">
                    <w:rPr>
                      <w:sz w:val="24"/>
                      <w:szCs w:val="24"/>
                      <w:lang w:val="en-US"/>
                    </w:rPr>
                    <w:t>7,464,06</w:t>
                  </w:r>
                </w:p>
              </w:tc>
              <w:tc>
                <w:tcPr>
                  <w:tcW w:w="1710" w:type="dxa"/>
                  <w:shd w:val="clear" w:color="auto" w:fill="auto"/>
                  <w:noWrap/>
                  <w:vAlign w:val="bottom"/>
                </w:tcPr>
                <w:p w:rsidR="00632702" w:rsidRPr="005F1FAF" w:rsidRDefault="00083C9A" w:rsidP="00B0425D">
                  <w:pPr>
                    <w:jc w:val="right"/>
                    <w:rPr>
                      <w:sz w:val="24"/>
                      <w:szCs w:val="24"/>
                      <w:lang w:val="en-US"/>
                    </w:rPr>
                  </w:pPr>
                  <w:r w:rsidRPr="005F1FAF">
                    <w:rPr>
                      <w:sz w:val="24"/>
                      <w:szCs w:val="24"/>
                      <w:lang w:val="en-US"/>
                    </w:rPr>
                    <w:t>-</w:t>
                  </w:r>
                  <w:r w:rsidR="00632702" w:rsidRPr="005F1FAF">
                    <w:rPr>
                      <w:sz w:val="24"/>
                      <w:szCs w:val="24"/>
                      <w:lang w:val="en-US"/>
                    </w:rPr>
                    <w:t>640,41</w:t>
                  </w:r>
                </w:p>
              </w:tc>
            </w:tr>
            <w:tr w:rsidR="00632702" w:rsidRPr="005F1FAF" w:rsidTr="0030115B">
              <w:trPr>
                <w:trHeight w:val="300"/>
                <w:jc w:val="center"/>
              </w:trPr>
              <w:tc>
                <w:tcPr>
                  <w:tcW w:w="600" w:type="dxa"/>
                  <w:shd w:val="clear" w:color="000000" w:fill="FFFFFF"/>
                </w:tcPr>
                <w:p w:rsidR="00632702" w:rsidRPr="005F1FAF" w:rsidRDefault="00DE00E8" w:rsidP="00B0425D">
                  <w:pPr>
                    <w:jc w:val="center"/>
                    <w:rPr>
                      <w:sz w:val="24"/>
                      <w:szCs w:val="24"/>
                      <w:lang w:val="en-US"/>
                    </w:rPr>
                  </w:pPr>
                  <w:r w:rsidRPr="005F1FAF">
                    <w:rPr>
                      <w:sz w:val="24"/>
                      <w:szCs w:val="24"/>
                      <w:lang w:val="en-US"/>
                    </w:rPr>
                    <w:t>24</w:t>
                  </w:r>
                </w:p>
              </w:tc>
              <w:tc>
                <w:tcPr>
                  <w:tcW w:w="1350" w:type="dxa"/>
                  <w:shd w:val="clear" w:color="000000" w:fill="FFFFFF"/>
                  <w:vAlign w:val="center"/>
                </w:tcPr>
                <w:p w:rsidR="00632702" w:rsidRPr="005F1FAF" w:rsidRDefault="00632702" w:rsidP="00B0425D">
                  <w:pPr>
                    <w:jc w:val="center"/>
                    <w:rPr>
                      <w:sz w:val="24"/>
                      <w:szCs w:val="24"/>
                      <w:lang w:val="en-US"/>
                    </w:rPr>
                  </w:pPr>
                  <w:r w:rsidRPr="005F1FAF">
                    <w:rPr>
                      <w:sz w:val="24"/>
                      <w:szCs w:val="24"/>
                      <w:lang w:val="en-US"/>
                    </w:rPr>
                    <w:t>118</w:t>
                  </w:r>
                </w:p>
              </w:tc>
              <w:tc>
                <w:tcPr>
                  <w:tcW w:w="1590" w:type="dxa"/>
                  <w:shd w:val="clear" w:color="auto" w:fill="auto"/>
                  <w:vAlign w:val="center"/>
                </w:tcPr>
                <w:p w:rsidR="00632702" w:rsidRPr="005F1FAF" w:rsidRDefault="00632702" w:rsidP="00B0425D">
                  <w:pPr>
                    <w:jc w:val="center"/>
                    <w:rPr>
                      <w:sz w:val="24"/>
                      <w:szCs w:val="24"/>
                      <w:lang w:val="en-US"/>
                    </w:rPr>
                  </w:pPr>
                  <w:r w:rsidRPr="005F1FAF">
                    <w:rPr>
                      <w:sz w:val="24"/>
                      <w:szCs w:val="24"/>
                      <w:lang w:val="en-US"/>
                    </w:rPr>
                    <w:t>4.596,73</w:t>
                  </w:r>
                </w:p>
              </w:tc>
              <w:tc>
                <w:tcPr>
                  <w:tcW w:w="2280" w:type="dxa"/>
                  <w:shd w:val="clear" w:color="auto" w:fill="auto"/>
                  <w:vAlign w:val="center"/>
                </w:tcPr>
                <w:p w:rsidR="00632702" w:rsidRPr="005F1FAF" w:rsidRDefault="00632702" w:rsidP="00B0425D">
                  <w:pPr>
                    <w:jc w:val="center"/>
                    <w:rPr>
                      <w:sz w:val="24"/>
                      <w:szCs w:val="24"/>
                      <w:lang w:val="en-US"/>
                    </w:rPr>
                  </w:pPr>
                  <w:r w:rsidRPr="005F1FAF">
                    <w:rPr>
                      <w:sz w:val="24"/>
                      <w:szCs w:val="24"/>
                      <w:lang w:val="en-US"/>
                    </w:rPr>
                    <w:t>4.996,26</w:t>
                  </w:r>
                </w:p>
              </w:tc>
              <w:tc>
                <w:tcPr>
                  <w:tcW w:w="1710" w:type="dxa"/>
                  <w:shd w:val="clear" w:color="auto" w:fill="auto"/>
                  <w:noWrap/>
                  <w:vAlign w:val="bottom"/>
                </w:tcPr>
                <w:p w:rsidR="00632702" w:rsidRPr="005F1FAF" w:rsidRDefault="00083C9A" w:rsidP="00B0425D">
                  <w:pPr>
                    <w:jc w:val="right"/>
                    <w:rPr>
                      <w:sz w:val="24"/>
                      <w:szCs w:val="24"/>
                      <w:lang w:val="en-US"/>
                    </w:rPr>
                  </w:pPr>
                  <w:r w:rsidRPr="005F1FAF">
                    <w:rPr>
                      <w:sz w:val="24"/>
                      <w:szCs w:val="24"/>
                      <w:lang w:val="en-US"/>
                    </w:rPr>
                    <w:t>-</w:t>
                  </w:r>
                  <w:r w:rsidR="00632702" w:rsidRPr="005F1FAF">
                    <w:rPr>
                      <w:sz w:val="24"/>
                      <w:szCs w:val="24"/>
                      <w:lang w:val="en-US"/>
                    </w:rPr>
                    <w:t>399,53</w:t>
                  </w:r>
                </w:p>
              </w:tc>
            </w:tr>
            <w:tr w:rsidR="00632702" w:rsidRPr="005F1FAF" w:rsidTr="0030115B">
              <w:trPr>
                <w:trHeight w:val="300"/>
                <w:jc w:val="center"/>
              </w:trPr>
              <w:tc>
                <w:tcPr>
                  <w:tcW w:w="600" w:type="dxa"/>
                  <w:shd w:val="clear" w:color="000000" w:fill="FFFFFF"/>
                </w:tcPr>
                <w:p w:rsidR="00632702" w:rsidRPr="005F1FAF" w:rsidRDefault="00DE00E8" w:rsidP="00B0425D">
                  <w:pPr>
                    <w:jc w:val="center"/>
                    <w:rPr>
                      <w:sz w:val="24"/>
                      <w:szCs w:val="24"/>
                      <w:lang w:val="en-US"/>
                    </w:rPr>
                  </w:pPr>
                  <w:r w:rsidRPr="005F1FAF">
                    <w:rPr>
                      <w:sz w:val="24"/>
                      <w:szCs w:val="24"/>
                      <w:lang w:val="en-US"/>
                    </w:rPr>
                    <w:t>26</w:t>
                  </w:r>
                </w:p>
              </w:tc>
              <w:tc>
                <w:tcPr>
                  <w:tcW w:w="1350" w:type="dxa"/>
                  <w:shd w:val="clear" w:color="000000" w:fill="FFFFFF"/>
                  <w:vAlign w:val="center"/>
                </w:tcPr>
                <w:p w:rsidR="00632702" w:rsidRPr="005F1FAF" w:rsidRDefault="00632702" w:rsidP="00B0425D">
                  <w:pPr>
                    <w:jc w:val="center"/>
                    <w:rPr>
                      <w:sz w:val="24"/>
                      <w:szCs w:val="24"/>
                      <w:lang w:val="en-US"/>
                    </w:rPr>
                  </w:pPr>
                  <w:r w:rsidRPr="005F1FAF">
                    <w:rPr>
                      <w:sz w:val="24"/>
                      <w:szCs w:val="24"/>
                      <w:lang w:val="en-US"/>
                    </w:rPr>
                    <w:t>125</w:t>
                  </w:r>
                </w:p>
              </w:tc>
              <w:tc>
                <w:tcPr>
                  <w:tcW w:w="1590" w:type="dxa"/>
                  <w:shd w:val="clear" w:color="auto" w:fill="auto"/>
                  <w:vAlign w:val="center"/>
                </w:tcPr>
                <w:p w:rsidR="00632702" w:rsidRPr="005F1FAF" w:rsidRDefault="00632702" w:rsidP="00B0425D">
                  <w:pPr>
                    <w:jc w:val="center"/>
                    <w:rPr>
                      <w:sz w:val="24"/>
                      <w:szCs w:val="24"/>
                      <w:lang w:val="en-US"/>
                    </w:rPr>
                  </w:pPr>
                  <w:r w:rsidRPr="005F1FAF">
                    <w:rPr>
                      <w:sz w:val="24"/>
                      <w:szCs w:val="24"/>
                      <w:lang w:val="en-US"/>
                    </w:rPr>
                    <w:t>24.290,55</w:t>
                  </w:r>
                </w:p>
              </w:tc>
              <w:tc>
                <w:tcPr>
                  <w:tcW w:w="2280" w:type="dxa"/>
                  <w:shd w:val="clear" w:color="auto" w:fill="auto"/>
                  <w:vAlign w:val="center"/>
                </w:tcPr>
                <w:p w:rsidR="00632702" w:rsidRPr="005F1FAF" w:rsidRDefault="00632702" w:rsidP="00B0425D">
                  <w:pPr>
                    <w:jc w:val="center"/>
                    <w:rPr>
                      <w:sz w:val="24"/>
                      <w:szCs w:val="24"/>
                      <w:lang w:val="en-US"/>
                    </w:rPr>
                  </w:pPr>
                  <w:r w:rsidRPr="005F1FAF">
                    <w:rPr>
                      <w:sz w:val="24"/>
                      <w:szCs w:val="24"/>
                      <w:lang w:val="en-US"/>
                    </w:rPr>
                    <w:t>17.677,30</w:t>
                  </w:r>
                </w:p>
              </w:tc>
              <w:tc>
                <w:tcPr>
                  <w:tcW w:w="1710" w:type="dxa"/>
                  <w:shd w:val="clear" w:color="auto" w:fill="auto"/>
                  <w:noWrap/>
                  <w:vAlign w:val="bottom"/>
                </w:tcPr>
                <w:p w:rsidR="00632702" w:rsidRPr="005F1FAF" w:rsidRDefault="00632702" w:rsidP="00B0425D">
                  <w:pPr>
                    <w:jc w:val="right"/>
                    <w:rPr>
                      <w:sz w:val="24"/>
                      <w:szCs w:val="24"/>
                      <w:lang w:val="en-US"/>
                    </w:rPr>
                  </w:pPr>
                  <w:r w:rsidRPr="005F1FAF">
                    <w:rPr>
                      <w:sz w:val="24"/>
                      <w:szCs w:val="24"/>
                      <w:lang w:val="en-US"/>
                    </w:rPr>
                    <w:t xml:space="preserve"> 6.613,25</w:t>
                  </w:r>
                </w:p>
              </w:tc>
            </w:tr>
            <w:tr w:rsidR="00632702" w:rsidRPr="005F1FAF" w:rsidTr="0030115B">
              <w:trPr>
                <w:trHeight w:val="300"/>
                <w:jc w:val="center"/>
              </w:trPr>
              <w:tc>
                <w:tcPr>
                  <w:tcW w:w="600" w:type="dxa"/>
                  <w:shd w:val="clear" w:color="000000" w:fill="FFFFFF"/>
                </w:tcPr>
                <w:p w:rsidR="00632702" w:rsidRPr="005F1FAF" w:rsidRDefault="00DE00E8" w:rsidP="00B0425D">
                  <w:pPr>
                    <w:jc w:val="center"/>
                    <w:rPr>
                      <w:sz w:val="24"/>
                      <w:szCs w:val="24"/>
                      <w:lang w:val="en-US"/>
                    </w:rPr>
                  </w:pPr>
                  <w:r w:rsidRPr="005F1FAF">
                    <w:rPr>
                      <w:sz w:val="24"/>
                      <w:szCs w:val="24"/>
                      <w:lang w:val="en-US"/>
                    </w:rPr>
                    <w:t>27</w:t>
                  </w:r>
                </w:p>
              </w:tc>
              <w:tc>
                <w:tcPr>
                  <w:tcW w:w="1350" w:type="dxa"/>
                  <w:shd w:val="clear" w:color="000000" w:fill="FFFFFF"/>
                  <w:vAlign w:val="center"/>
                </w:tcPr>
                <w:p w:rsidR="00632702" w:rsidRPr="005F1FAF" w:rsidRDefault="00632702" w:rsidP="00B0425D">
                  <w:pPr>
                    <w:jc w:val="center"/>
                    <w:rPr>
                      <w:sz w:val="24"/>
                      <w:szCs w:val="24"/>
                      <w:lang w:val="en-US"/>
                    </w:rPr>
                  </w:pPr>
                  <w:r w:rsidRPr="005F1FAF">
                    <w:rPr>
                      <w:sz w:val="24"/>
                      <w:szCs w:val="24"/>
                      <w:lang w:val="en-US"/>
                    </w:rPr>
                    <w:t>126</w:t>
                  </w:r>
                </w:p>
              </w:tc>
              <w:tc>
                <w:tcPr>
                  <w:tcW w:w="1590" w:type="dxa"/>
                  <w:shd w:val="clear" w:color="auto" w:fill="auto"/>
                  <w:vAlign w:val="center"/>
                </w:tcPr>
                <w:p w:rsidR="00632702" w:rsidRPr="005F1FAF" w:rsidRDefault="00632702" w:rsidP="00B0425D">
                  <w:pPr>
                    <w:jc w:val="center"/>
                    <w:rPr>
                      <w:sz w:val="24"/>
                      <w:szCs w:val="24"/>
                      <w:lang w:val="en-US"/>
                    </w:rPr>
                  </w:pPr>
                  <w:r w:rsidRPr="005F1FAF">
                    <w:rPr>
                      <w:sz w:val="24"/>
                      <w:szCs w:val="24"/>
                      <w:lang w:val="en-US"/>
                    </w:rPr>
                    <w:t>7.260,39</w:t>
                  </w:r>
                </w:p>
              </w:tc>
              <w:tc>
                <w:tcPr>
                  <w:tcW w:w="2280" w:type="dxa"/>
                  <w:shd w:val="clear" w:color="auto" w:fill="auto"/>
                  <w:vAlign w:val="center"/>
                </w:tcPr>
                <w:p w:rsidR="00632702" w:rsidRPr="005F1FAF" w:rsidRDefault="00632702" w:rsidP="00B0425D">
                  <w:pPr>
                    <w:jc w:val="center"/>
                    <w:rPr>
                      <w:sz w:val="24"/>
                      <w:szCs w:val="24"/>
                      <w:lang w:val="en-US"/>
                    </w:rPr>
                  </w:pPr>
                  <w:r w:rsidRPr="005F1FAF">
                    <w:rPr>
                      <w:sz w:val="24"/>
                      <w:szCs w:val="24"/>
                      <w:lang w:val="en-US"/>
                    </w:rPr>
                    <w:t>34.613,34</w:t>
                  </w:r>
                </w:p>
              </w:tc>
              <w:tc>
                <w:tcPr>
                  <w:tcW w:w="1710" w:type="dxa"/>
                  <w:shd w:val="clear" w:color="auto" w:fill="auto"/>
                  <w:noWrap/>
                  <w:vAlign w:val="bottom"/>
                </w:tcPr>
                <w:p w:rsidR="00632702" w:rsidRPr="005F1FAF" w:rsidRDefault="002D0DAC" w:rsidP="00B0425D">
                  <w:pPr>
                    <w:jc w:val="right"/>
                    <w:rPr>
                      <w:sz w:val="24"/>
                      <w:szCs w:val="24"/>
                      <w:lang w:val="en-US"/>
                    </w:rPr>
                  </w:pPr>
                  <w:r w:rsidRPr="005F1FAF">
                    <w:rPr>
                      <w:sz w:val="24"/>
                      <w:szCs w:val="24"/>
                      <w:lang w:val="en-US"/>
                    </w:rPr>
                    <w:t>-</w:t>
                  </w:r>
                  <w:r w:rsidR="00632702" w:rsidRPr="005F1FAF">
                    <w:rPr>
                      <w:sz w:val="24"/>
                      <w:szCs w:val="24"/>
                      <w:lang w:val="en-US"/>
                    </w:rPr>
                    <w:t>27.352,95</w:t>
                  </w:r>
                </w:p>
              </w:tc>
            </w:tr>
            <w:tr w:rsidR="00632702" w:rsidRPr="005F1FAF" w:rsidTr="0030115B">
              <w:trPr>
                <w:trHeight w:val="300"/>
                <w:jc w:val="center"/>
              </w:trPr>
              <w:tc>
                <w:tcPr>
                  <w:tcW w:w="600" w:type="dxa"/>
                  <w:shd w:val="clear" w:color="000000" w:fill="FFFFFF"/>
                </w:tcPr>
                <w:p w:rsidR="00632702" w:rsidRPr="005F1FAF" w:rsidRDefault="00DE00E8" w:rsidP="00B0425D">
                  <w:pPr>
                    <w:jc w:val="center"/>
                    <w:rPr>
                      <w:sz w:val="24"/>
                      <w:szCs w:val="24"/>
                      <w:lang w:val="en-US"/>
                    </w:rPr>
                  </w:pPr>
                  <w:r w:rsidRPr="005F1FAF">
                    <w:rPr>
                      <w:sz w:val="24"/>
                      <w:szCs w:val="24"/>
                      <w:lang w:val="en-US"/>
                    </w:rPr>
                    <w:t>28</w:t>
                  </w:r>
                </w:p>
              </w:tc>
              <w:tc>
                <w:tcPr>
                  <w:tcW w:w="1350" w:type="dxa"/>
                  <w:shd w:val="clear" w:color="000000" w:fill="FFFFFF"/>
                  <w:vAlign w:val="center"/>
                </w:tcPr>
                <w:p w:rsidR="00632702" w:rsidRPr="005F1FAF" w:rsidRDefault="00632702" w:rsidP="00B0425D">
                  <w:pPr>
                    <w:jc w:val="center"/>
                    <w:rPr>
                      <w:sz w:val="24"/>
                      <w:szCs w:val="24"/>
                      <w:lang w:val="en-US"/>
                    </w:rPr>
                  </w:pPr>
                  <w:r w:rsidRPr="005F1FAF">
                    <w:rPr>
                      <w:sz w:val="24"/>
                      <w:szCs w:val="24"/>
                      <w:lang w:val="en-US"/>
                    </w:rPr>
                    <w:t>132</w:t>
                  </w:r>
                </w:p>
              </w:tc>
              <w:tc>
                <w:tcPr>
                  <w:tcW w:w="1590" w:type="dxa"/>
                  <w:shd w:val="clear" w:color="auto" w:fill="auto"/>
                  <w:vAlign w:val="center"/>
                </w:tcPr>
                <w:p w:rsidR="00632702" w:rsidRPr="005F1FAF" w:rsidRDefault="00632702" w:rsidP="00B0425D">
                  <w:pPr>
                    <w:jc w:val="center"/>
                    <w:rPr>
                      <w:sz w:val="24"/>
                      <w:szCs w:val="24"/>
                      <w:lang w:val="en-US"/>
                    </w:rPr>
                  </w:pPr>
                  <w:r w:rsidRPr="005F1FAF">
                    <w:rPr>
                      <w:sz w:val="24"/>
                      <w:szCs w:val="24"/>
                      <w:lang w:val="en-US"/>
                    </w:rPr>
                    <w:t>116.080,36</w:t>
                  </w:r>
                </w:p>
              </w:tc>
              <w:tc>
                <w:tcPr>
                  <w:tcW w:w="2280" w:type="dxa"/>
                  <w:shd w:val="clear" w:color="auto" w:fill="auto"/>
                  <w:vAlign w:val="center"/>
                </w:tcPr>
                <w:p w:rsidR="00632702" w:rsidRPr="005F1FAF" w:rsidRDefault="00632702" w:rsidP="00B0425D">
                  <w:pPr>
                    <w:jc w:val="center"/>
                    <w:rPr>
                      <w:sz w:val="24"/>
                      <w:szCs w:val="24"/>
                      <w:lang w:val="en-US"/>
                    </w:rPr>
                  </w:pPr>
                  <w:r w:rsidRPr="005F1FAF">
                    <w:rPr>
                      <w:sz w:val="24"/>
                      <w:szCs w:val="24"/>
                      <w:lang w:val="en-US"/>
                    </w:rPr>
                    <w:t>115.562,16</w:t>
                  </w:r>
                </w:p>
              </w:tc>
              <w:tc>
                <w:tcPr>
                  <w:tcW w:w="1710" w:type="dxa"/>
                  <w:shd w:val="clear" w:color="auto" w:fill="auto"/>
                  <w:noWrap/>
                  <w:vAlign w:val="bottom"/>
                </w:tcPr>
                <w:p w:rsidR="00632702" w:rsidRPr="005F1FAF" w:rsidRDefault="00632702" w:rsidP="00B0425D">
                  <w:pPr>
                    <w:jc w:val="right"/>
                    <w:rPr>
                      <w:sz w:val="24"/>
                      <w:szCs w:val="24"/>
                      <w:lang w:val="en-US"/>
                    </w:rPr>
                  </w:pPr>
                  <w:r w:rsidRPr="005F1FAF">
                    <w:rPr>
                      <w:sz w:val="24"/>
                      <w:szCs w:val="24"/>
                      <w:lang w:val="en-US"/>
                    </w:rPr>
                    <w:t>518,20</w:t>
                  </w:r>
                </w:p>
              </w:tc>
            </w:tr>
            <w:tr w:rsidR="00632702" w:rsidRPr="005F1FAF" w:rsidTr="0030115B">
              <w:trPr>
                <w:trHeight w:val="300"/>
                <w:jc w:val="center"/>
              </w:trPr>
              <w:tc>
                <w:tcPr>
                  <w:tcW w:w="600" w:type="dxa"/>
                  <w:shd w:val="clear" w:color="000000" w:fill="FFFFFF"/>
                </w:tcPr>
                <w:p w:rsidR="00632702" w:rsidRPr="005F1FAF" w:rsidRDefault="00DE00E8" w:rsidP="00B0425D">
                  <w:pPr>
                    <w:jc w:val="center"/>
                    <w:rPr>
                      <w:sz w:val="24"/>
                      <w:szCs w:val="24"/>
                      <w:lang w:val="en-US"/>
                    </w:rPr>
                  </w:pPr>
                  <w:r w:rsidRPr="005F1FAF">
                    <w:rPr>
                      <w:sz w:val="24"/>
                      <w:szCs w:val="24"/>
                      <w:lang w:val="en-US"/>
                    </w:rPr>
                    <w:t>29</w:t>
                  </w:r>
                </w:p>
              </w:tc>
              <w:tc>
                <w:tcPr>
                  <w:tcW w:w="1350" w:type="dxa"/>
                  <w:shd w:val="clear" w:color="000000" w:fill="FFFFFF"/>
                  <w:vAlign w:val="center"/>
                </w:tcPr>
                <w:p w:rsidR="00632702" w:rsidRPr="005F1FAF" w:rsidRDefault="00632702" w:rsidP="00B0425D">
                  <w:pPr>
                    <w:jc w:val="center"/>
                    <w:rPr>
                      <w:sz w:val="24"/>
                      <w:szCs w:val="24"/>
                      <w:lang w:val="en-US"/>
                    </w:rPr>
                  </w:pPr>
                  <w:r w:rsidRPr="005F1FAF">
                    <w:rPr>
                      <w:sz w:val="24"/>
                      <w:szCs w:val="24"/>
                      <w:lang w:val="en-US"/>
                    </w:rPr>
                    <w:t>147</w:t>
                  </w:r>
                </w:p>
              </w:tc>
              <w:tc>
                <w:tcPr>
                  <w:tcW w:w="1590" w:type="dxa"/>
                  <w:shd w:val="clear" w:color="auto" w:fill="auto"/>
                  <w:vAlign w:val="center"/>
                </w:tcPr>
                <w:p w:rsidR="00632702" w:rsidRPr="005F1FAF" w:rsidRDefault="00632702" w:rsidP="00B0425D">
                  <w:pPr>
                    <w:jc w:val="center"/>
                    <w:rPr>
                      <w:sz w:val="24"/>
                      <w:szCs w:val="24"/>
                      <w:lang w:val="en-US"/>
                    </w:rPr>
                  </w:pPr>
                  <w:r w:rsidRPr="005F1FAF">
                    <w:rPr>
                      <w:sz w:val="24"/>
                      <w:szCs w:val="24"/>
                      <w:lang w:val="en-US"/>
                    </w:rPr>
                    <w:t>192.940,24</w:t>
                  </w:r>
                </w:p>
              </w:tc>
              <w:tc>
                <w:tcPr>
                  <w:tcW w:w="2280" w:type="dxa"/>
                  <w:shd w:val="clear" w:color="auto" w:fill="auto"/>
                  <w:vAlign w:val="center"/>
                </w:tcPr>
                <w:p w:rsidR="00632702" w:rsidRPr="005F1FAF" w:rsidRDefault="00632702" w:rsidP="00B0425D">
                  <w:pPr>
                    <w:jc w:val="center"/>
                    <w:rPr>
                      <w:sz w:val="24"/>
                      <w:szCs w:val="24"/>
                      <w:lang w:val="en-US"/>
                    </w:rPr>
                  </w:pPr>
                  <w:r w:rsidRPr="005F1FAF">
                    <w:rPr>
                      <w:sz w:val="24"/>
                      <w:szCs w:val="24"/>
                      <w:lang w:val="en-US"/>
                    </w:rPr>
                    <w:t>222.240,93</w:t>
                  </w:r>
                </w:p>
              </w:tc>
              <w:tc>
                <w:tcPr>
                  <w:tcW w:w="1710" w:type="dxa"/>
                  <w:shd w:val="clear" w:color="auto" w:fill="auto"/>
                  <w:noWrap/>
                  <w:vAlign w:val="bottom"/>
                </w:tcPr>
                <w:p w:rsidR="00632702" w:rsidRPr="005F1FAF" w:rsidRDefault="002D0DAC" w:rsidP="00B0425D">
                  <w:pPr>
                    <w:jc w:val="right"/>
                    <w:rPr>
                      <w:sz w:val="24"/>
                      <w:szCs w:val="24"/>
                      <w:lang w:val="en-US"/>
                    </w:rPr>
                  </w:pPr>
                  <w:r w:rsidRPr="005F1FAF">
                    <w:rPr>
                      <w:sz w:val="24"/>
                      <w:szCs w:val="24"/>
                      <w:lang w:val="en-US"/>
                    </w:rPr>
                    <w:t>-</w:t>
                  </w:r>
                  <w:r w:rsidR="00632702" w:rsidRPr="005F1FAF">
                    <w:rPr>
                      <w:sz w:val="24"/>
                      <w:szCs w:val="24"/>
                      <w:lang w:val="en-US"/>
                    </w:rPr>
                    <w:t>29.300,69</w:t>
                  </w:r>
                </w:p>
              </w:tc>
            </w:tr>
            <w:tr w:rsidR="00632702" w:rsidRPr="005F1FAF" w:rsidTr="0030115B">
              <w:trPr>
                <w:trHeight w:val="300"/>
                <w:jc w:val="center"/>
              </w:trPr>
              <w:tc>
                <w:tcPr>
                  <w:tcW w:w="600" w:type="dxa"/>
                  <w:shd w:val="clear" w:color="000000" w:fill="FFFFFF"/>
                </w:tcPr>
                <w:p w:rsidR="00632702" w:rsidRPr="005F1FAF" w:rsidRDefault="00DE00E8" w:rsidP="00B0425D">
                  <w:pPr>
                    <w:jc w:val="center"/>
                    <w:rPr>
                      <w:sz w:val="24"/>
                      <w:szCs w:val="24"/>
                      <w:lang w:val="en-US"/>
                    </w:rPr>
                  </w:pPr>
                  <w:r w:rsidRPr="005F1FAF">
                    <w:rPr>
                      <w:sz w:val="24"/>
                      <w:szCs w:val="24"/>
                      <w:lang w:val="en-US"/>
                    </w:rPr>
                    <w:t>30</w:t>
                  </w:r>
                </w:p>
              </w:tc>
              <w:tc>
                <w:tcPr>
                  <w:tcW w:w="1350" w:type="dxa"/>
                  <w:shd w:val="clear" w:color="000000" w:fill="FFFFFF"/>
                  <w:vAlign w:val="center"/>
                </w:tcPr>
                <w:p w:rsidR="00632702" w:rsidRPr="005F1FAF" w:rsidRDefault="00632702" w:rsidP="00B0425D">
                  <w:pPr>
                    <w:jc w:val="center"/>
                    <w:rPr>
                      <w:sz w:val="24"/>
                      <w:szCs w:val="24"/>
                      <w:lang w:val="en-US"/>
                    </w:rPr>
                  </w:pPr>
                  <w:r w:rsidRPr="005F1FAF">
                    <w:rPr>
                      <w:sz w:val="24"/>
                      <w:szCs w:val="24"/>
                      <w:lang w:val="en-US"/>
                    </w:rPr>
                    <w:t>149</w:t>
                  </w:r>
                </w:p>
              </w:tc>
              <w:tc>
                <w:tcPr>
                  <w:tcW w:w="1590" w:type="dxa"/>
                  <w:shd w:val="clear" w:color="auto" w:fill="auto"/>
                  <w:vAlign w:val="center"/>
                </w:tcPr>
                <w:p w:rsidR="00632702" w:rsidRPr="005F1FAF" w:rsidRDefault="00632702" w:rsidP="00B0425D">
                  <w:pPr>
                    <w:jc w:val="center"/>
                    <w:rPr>
                      <w:sz w:val="24"/>
                      <w:szCs w:val="24"/>
                      <w:lang w:val="en-US"/>
                    </w:rPr>
                  </w:pPr>
                  <w:r w:rsidRPr="005F1FAF">
                    <w:rPr>
                      <w:sz w:val="24"/>
                      <w:szCs w:val="24"/>
                      <w:lang w:val="en-US"/>
                    </w:rPr>
                    <w:t>35.842,38</w:t>
                  </w:r>
                </w:p>
              </w:tc>
              <w:tc>
                <w:tcPr>
                  <w:tcW w:w="2280" w:type="dxa"/>
                  <w:shd w:val="clear" w:color="auto" w:fill="auto"/>
                  <w:vAlign w:val="center"/>
                </w:tcPr>
                <w:p w:rsidR="00632702" w:rsidRPr="005F1FAF" w:rsidRDefault="00632702" w:rsidP="00B0425D">
                  <w:pPr>
                    <w:jc w:val="center"/>
                    <w:rPr>
                      <w:sz w:val="24"/>
                      <w:szCs w:val="24"/>
                      <w:lang w:val="en-US"/>
                    </w:rPr>
                  </w:pPr>
                  <w:r w:rsidRPr="005F1FAF">
                    <w:rPr>
                      <w:sz w:val="24"/>
                      <w:szCs w:val="24"/>
                      <w:lang w:val="en-US"/>
                    </w:rPr>
                    <w:t>43.431,17</w:t>
                  </w:r>
                </w:p>
              </w:tc>
              <w:tc>
                <w:tcPr>
                  <w:tcW w:w="1710" w:type="dxa"/>
                  <w:shd w:val="clear" w:color="auto" w:fill="auto"/>
                  <w:noWrap/>
                  <w:vAlign w:val="bottom"/>
                </w:tcPr>
                <w:p w:rsidR="00632702" w:rsidRPr="005F1FAF" w:rsidRDefault="002D0DAC" w:rsidP="00B0425D">
                  <w:pPr>
                    <w:jc w:val="right"/>
                    <w:rPr>
                      <w:sz w:val="24"/>
                      <w:szCs w:val="24"/>
                      <w:lang w:val="en-US"/>
                    </w:rPr>
                  </w:pPr>
                  <w:r w:rsidRPr="005F1FAF">
                    <w:rPr>
                      <w:sz w:val="24"/>
                      <w:szCs w:val="24"/>
                      <w:lang w:val="en-US"/>
                    </w:rPr>
                    <w:t>-</w:t>
                  </w:r>
                  <w:r w:rsidR="00632702" w:rsidRPr="005F1FAF">
                    <w:rPr>
                      <w:sz w:val="24"/>
                      <w:szCs w:val="24"/>
                      <w:lang w:val="en-US"/>
                    </w:rPr>
                    <w:t>7.588,79</w:t>
                  </w:r>
                </w:p>
              </w:tc>
            </w:tr>
            <w:tr w:rsidR="00632702" w:rsidRPr="005F1FAF" w:rsidTr="0030115B">
              <w:trPr>
                <w:trHeight w:val="300"/>
                <w:jc w:val="center"/>
              </w:trPr>
              <w:tc>
                <w:tcPr>
                  <w:tcW w:w="600" w:type="dxa"/>
                  <w:shd w:val="clear" w:color="000000" w:fill="FFFFFF"/>
                </w:tcPr>
                <w:p w:rsidR="00632702" w:rsidRPr="005F1FAF" w:rsidRDefault="00DE00E8" w:rsidP="00B0425D">
                  <w:pPr>
                    <w:jc w:val="center"/>
                    <w:rPr>
                      <w:sz w:val="24"/>
                      <w:szCs w:val="24"/>
                      <w:lang w:val="en-US"/>
                    </w:rPr>
                  </w:pPr>
                  <w:r w:rsidRPr="005F1FAF">
                    <w:rPr>
                      <w:sz w:val="24"/>
                      <w:szCs w:val="24"/>
                      <w:lang w:val="en-US"/>
                    </w:rPr>
                    <w:t>31</w:t>
                  </w:r>
                </w:p>
              </w:tc>
              <w:tc>
                <w:tcPr>
                  <w:tcW w:w="1350" w:type="dxa"/>
                  <w:shd w:val="clear" w:color="000000" w:fill="FFFFFF"/>
                  <w:vAlign w:val="center"/>
                </w:tcPr>
                <w:p w:rsidR="00632702" w:rsidRPr="005F1FAF" w:rsidRDefault="00632702" w:rsidP="00B0425D">
                  <w:pPr>
                    <w:jc w:val="center"/>
                    <w:rPr>
                      <w:sz w:val="24"/>
                      <w:szCs w:val="24"/>
                      <w:lang w:val="en-US"/>
                    </w:rPr>
                  </w:pPr>
                  <w:r w:rsidRPr="005F1FAF">
                    <w:rPr>
                      <w:sz w:val="24"/>
                      <w:szCs w:val="24"/>
                      <w:lang w:val="en-US"/>
                    </w:rPr>
                    <w:t>150</w:t>
                  </w:r>
                </w:p>
              </w:tc>
              <w:tc>
                <w:tcPr>
                  <w:tcW w:w="1590" w:type="dxa"/>
                  <w:shd w:val="clear" w:color="auto" w:fill="auto"/>
                  <w:vAlign w:val="center"/>
                </w:tcPr>
                <w:p w:rsidR="00632702" w:rsidRPr="005F1FAF" w:rsidRDefault="00632702" w:rsidP="00B0425D">
                  <w:pPr>
                    <w:jc w:val="center"/>
                    <w:rPr>
                      <w:sz w:val="24"/>
                      <w:szCs w:val="24"/>
                      <w:lang w:val="en-US"/>
                    </w:rPr>
                  </w:pPr>
                  <w:r w:rsidRPr="005F1FAF">
                    <w:rPr>
                      <w:sz w:val="24"/>
                      <w:szCs w:val="24"/>
                      <w:lang w:val="en-US"/>
                    </w:rPr>
                    <w:t>39.586,48</w:t>
                  </w:r>
                </w:p>
              </w:tc>
              <w:tc>
                <w:tcPr>
                  <w:tcW w:w="2280" w:type="dxa"/>
                  <w:shd w:val="clear" w:color="auto" w:fill="auto"/>
                  <w:vAlign w:val="center"/>
                </w:tcPr>
                <w:p w:rsidR="00632702" w:rsidRPr="005F1FAF" w:rsidRDefault="00632702" w:rsidP="00B0425D">
                  <w:pPr>
                    <w:jc w:val="center"/>
                    <w:rPr>
                      <w:sz w:val="24"/>
                      <w:szCs w:val="24"/>
                      <w:lang w:val="en-US"/>
                    </w:rPr>
                  </w:pPr>
                  <w:r w:rsidRPr="005F1FAF">
                    <w:rPr>
                      <w:sz w:val="24"/>
                      <w:szCs w:val="24"/>
                      <w:lang w:val="en-US"/>
                    </w:rPr>
                    <w:t>38.033,37</w:t>
                  </w:r>
                </w:p>
              </w:tc>
              <w:tc>
                <w:tcPr>
                  <w:tcW w:w="1710" w:type="dxa"/>
                  <w:shd w:val="clear" w:color="auto" w:fill="auto"/>
                  <w:noWrap/>
                  <w:vAlign w:val="bottom"/>
                </w:tcPr>
                <w:p w:rsidR="00632702" w:rsidRPr="005F1FAF" w:rsidRDefault="00632702" w:rsidP="00B0425D">
                  <w:pPr>
                    <w:jc w:val="right"/>
                    <w:rPr>
                      <w:sz w:val="24"/>
                      <w:szCs w:val="24"/>
                      <w:lang w:val="en-US"/>
                    </w:rPr>
                  </w:pPr>
                  <w:r w:rsidRPr="005F1FAF">
                    <w:rPr>
                      <w:sz w:val="24"/>
                      <w:szCs w:val="24"/>
                      <w:lang w:val="en-US"/>
                    </w:rPr>
                    <w:t>1.553,11</w:t>
                  </w:r>
                </w:p>
              </w:tc>
            </w:tr>
            <w:tr w:rsidR="00632702" w:rsidRPr="005F1FAF" w:rsidTr="0030115B">
              <w:trPr>
                <w:trHeight w:val="300"/>
                <w:jc w:val="center"/>
              </w:trPr>
              <w:tc>
                <w:tcPr>
                  <w:tcW w:w="600" w:type="dxa"/>
                  <w:shd w:val="clear" w:color="000000" w:fill="FFFFFF"/>
                </w:tcPr>
                <w:p w:rsidR="00632702" w:rsidRPr="005F1FAF" w:rsidRDefault="00DE00E8" w:rsidP="00B0425D">
                  <w:pPr>
                    <w:jc w:val="center"/>
                    <w:rPr>
                      <w:sz w:val="24"/>
                      <w:szCs w:val="24"/>
                      <w:lang w:val="en-US"/>
                    </w:rPr>
                  </w:pPr>
                  <w:r w:rsidRPr="005F1FAF">
                    <w:rPr>
                      <w:sz w:val="24"/>
                      <w:szCs w:val="24"/>
                      <w:lang w:val="en-US"/>
                    </w:rPr>
                    <w:t>32</w:t>
                  </w:r>
                </w:p>
              </w:tc>
              <w:tc>
                <w:tcPr>
                  <w:tcW w:w="1350" w:type="dxa"/>
                  <w:shd w:val="clear" w:color="000000" w:fill="FFFFFF"/>
                  <w:vAlign w:val="center"/>
                </w:tcPr>
                <w:p w:rsidR="00632702" w:rsidRPr="005F1FAF" w:rsidRDefault="00632702" w:rsidP="00B0425D">
                  <w:pPr>
                    <w:jc w:val="center"/>
                    <w:rPr>
                      <w:sz w:val="24"/>
                      <w:szCs w:val="24"/>
                      <w:lang w:val="en-US"/>
                    </w:rPr>
                  </w:pPr>
                  <w:r w:rsidRPr="005F1FAF">
                    <w:rPr>
                      <w:sz w:val="24"/>
                      <w:szCs w:val="24"/>
                      <w:lang w:val="en-US"/>
                    </w:rPr>
                    <w:t>151</w:t>
                  </w:r>
                </w:p>
              </w:tc>
              <w:tc>
                <w:tcPr>
                  <w:tcW w:w="1590" w:type="dxa"/>
                  <w:shd w:val="clear" w:color="auto" w:fill="auto"/>
                  <w:vAlign w:val="center"/>
                </w:tcPr>
                <w:p w:rsidR="00632702" w:rsidRPr="005F1FAF" w:rsidRDefault="00632702" w:rsidP="00B0425D">
                  <w:pPr>
                    <w:jc w:val="center"/>
                    <w:rPr>
                      <w:sz w:val="24"/>
                      <w:szCs w:val="24"/>
                      <w:lang w:val="en-US"/>
                    </w:rPr>
                  </w:pPr>
                  <w:r w:rsidRPr="005F1FAF">
                    <w:rPr>
                      <w:sz w:val="24"/>
                      <w:szCs w:val="24"/>
                      <w:lang w:val="en-US"/>
                    </w:rPr>
                    <w:t>16.935,15</w:t>
                  </w:r>
                </w:p>
              </w:tc>
              <w:tc>
                <w:tcPr>
                  <w:tcW w:w="2280" w:type="dxa"/>
                  <w:shd w:val="clear" w:color="auto" w:fill="auto"/>
                  <w:vAlign w:val="center"/>
                </w:tcPr>
                <w:p w:rsidR="00632702" w:rsidRPr="005F1FAF" w:rsidRDefault="00632702" w:rsidP="00B0425D">
                  <w:pPr>
                    <w:jc w:val="center"/>
                    <w:rPr>
                      <w:sz w:val="24"/>
                      <w:szCs w:val="24"/>
                      <w:lang w:val="en-US"/>
                    </w:rPr>
                  </w:pPr>
                  <w:r w:rsidRPr="005F1FAF">
                    <w:rPr>
                      <w:sz w:val="24"/>
                      <w:szCs w:val="24"/>
                      <w:lang w:val="en-US"/>
                    </w:rPr>
                    <w:t>20.290,10</w:t>
                  </w:r>
                </w:p>
              </w:tc>
              <w:tc>
                <w:tcPr>
                  <w:tcW w:w="1710" w:type="dxa"/>
                  <w:shd w:val="clear" w:color="auto" w:fill="auto"/>
                  <w:noWrap/>
                  <w:vAlign w:val="bottom"/>
                </w:tcPr>
                <w:p w:rsidR="00632702" w:rsidRPr="005F1FAF" w:rsidRDefault="002D0DAC" w:rsidP="00B0425D">
                  <w:pPr>
                    <w:jc w:val="right"/>
                    <w:rPr>
                      <w:sz w:val="24"/>
                      <w:szCs w:val="24"/>
                      <w:lang w:val="en-US"/>
                    </w:rPr>
                  </w:pPr>
                  <w:r w:rsidRPr="005F1FAF">
                    <w:rPr>
                      <w:sz w:val="24"/>
                      <w:szCs w:val="24"/>
                      <w:lang w:val="en-US"/>
                    </w:rPr>
                    <w:t>-3.354,95</w:t>
                  </w:r>
                </w:p>
              </w:tc>
            </w:tr>
            <w:tr w:rsidR="00632702" w:rsidRPr="005F1FAF" w:rsidTr="0030115B">
              <w:trPr>
                <w:trHeight w:val="300"/>
                <w:jc w:val="center"/>
              </w:trPr>
              <w:tc>
                <w:tcPr>
                  <w:tcW w:w="600" w:type="dxa"/>
                  <w:shd w:val="clear" w:color="000000" w:fill="FFFFFF"/>
                </w:tcPr>
                <w:p w:rsidR="00632702" w:rsidRPr="005F1FAF" w:rsidRDefault="00DE00E8" w:rsidP="00B0425D">
                  <w:pPr>
                    <w:jc w:val="center"/>
                    <w:rPr>
                      <w:sz w:val="24"/>
                      <w:szCs w:val="24"/>
                      <w:lang w:val="en-US"/>
                    </w:rPr>
                  </w:pPr>
                  <w:r w:rsidRPr="005F1FAF">
                    <w:rPr>
                      <w:sz w:val="24"/>
                      <w:szCs w:val="24"/>
                      <w:lang w:val="en-US"/>
                    </w:rPr>
                    <w:t>33</w:t>
                  </w:r>
                </w:p>
              </w:tc>
              <w:tc>
                <w:tcPr>
                  <w:tcW w:w="1350" w:type="dxa"/>
                  <w:shd w:val="clear" w:color="000000" w:fill="FFFFFF"/>
                  <w:vAlign w:val="center"/>
                </w:tcPr>
                <w:p w:rsidR="00632702" w:rsidRPr="005F1FAF" w:rsidRDefault="00632702" w:rsidP="00B0425D">
                  <w:pPr>
                    <w:jc w:val="center"/>
                    <w:rPr>
                      <w:sz w:val="24"/>
                      <w:szCs w:val="24"/>
                      <w:lang w:val="en-US"/>
                    </w:rPr>
                  </w:pPr>
                  <w:r w:rsidRPr="005F1FAF">
                    <w:rPr>
                      <w:sz w:val="24"/>
                      <w:szCs w:val="24"/>
                      <w:lang w:val="en-US"/>
                    </w:rPr>
                    <w:t>152</w:t>
                  </w:r>
                </w:p>
              </w:tc>
              <w:tc>
                <w:tcPr>
                  <w:tcW w:w="1590" w:type="dxa"/>
                  <w:shd w:val="clear" w:color="auto" w:fill="auto"/>
                  <w:vAlign w:val="center"/>
                </w:tcPr>
                <w:p w:rsidR="00632702" w:rsidRPr="005F1FAF" w:rsidRDefault="00632702" w:rsidP="00B0425D">
                  <w:pPr>
                    <w:jc w:val="center"/>
                    <w:rPr>
                      <w:sz w:val="24"/>
                      <w:szCs w:val="24"/>
                      <w:lang w:val="en-US"/>
                    </w:rPr>
                  </w:pPr>
                  <w:r w:rsidRPr="005F1FAF">
                    <w:rPr>
                      <w:sz w:val="24"/>
                      <w:szCs w:val="24"/>
                      <w:lang w:val="en-US"/>
                    </w:rPr>
                    <w:t>13.321,05</w:t>
                  </w:r>
                </w:p>
              </w:tc>
              <w:tc>
                <w:tcPr>
                  <w:tcW w:w="2280" w:type="dxa"/>
                  <w:shd w:val="clear" w:color="auto" w:fill="auto"/>
                  <w:vAlign w:val="center"/>
                </w:tcPr>
                <w:p w:rsidR="00632702" w:rsidRPr="005F1FAF" w:rsidRDefault="00632702" w:rsidP="00B0425D">
                  <w:pPr>
                    <w:jc w:val="center"/>
                    <w:rPr>
                      <w:sz w:val="24"/>
                      <w:szCs w:val="24"/>
                      <w:lang w:val="en-US"/>
                    </w:rPr>
                  </w:pPr>
                  <w:r w:rsidRPr="005F1FAF">
                    <w:rPr>
                      <w:sz w:val="24"/>
                      <w:szCs w:val="24"/>
                      <w:lang w:val="en-US"/>
                    </w:rPr>
                    <w:t>39.227,70</w:t>
                  </w:r>
                </w:p>
              </w:tc>
              <w:tc>
                <w:tcPr>
                  <w:tcW w:w="1710" w:type="dxa"/>
                  <w:shd w:val="clear" w:color="auto" w:fill="auto"/>
                  <w:noWrap/>
                  <w:vAlign w:val="bottom"/>
                </w:tcPr>
                <w:p w:rsidR="00632702" w:rsidRPr="005F1FAF" w:rsidRDefault="002D0DAC" w:rsidP="00B0425D">
                  <w:pPr>
                    <w:jc w:val="right"/>
                    <w:rPr>
                      <w:sz w:val="24"/>
                      <w:szCs w:val="24"/>
                      <w:lang w:val="en-US"/>
                    </w:rPr>
                  </w:pPr>
                  <w:r w:rsidRPr="005F1FAF">
                    <w:rPr>
                      <w:sz w:val="24"/>
                      <w:szCs w:val="24"/>
                      <w:lang w:val="en-US"/>
                    </w:rPr>
                    <w:t>-</w:t>
                  </w:r>
                  <w:r w:rsidR="00632702" w:rsidRPr="005F1FAF">
                    <w:rPr>
                      <w:sz w:val="24"/>
                      <w:szCs w:val="24"/>
                      <w:lang w:val="en-US"/>
                    </w:rPr>
                    <w:t>25.906,65</w:t>
                  </w:r>
                </w:p>
              </w:tc>
            </w:tr>
            <w:tr w:rsidR="00632702" w:rsidRPr="005F1FAF" w:rsidTr="0030115B">
              <w:trPr>
                <w:trHeight w:val="300"/>
                <w:jc w:val="center"/>
              </w:trPr>
              <w:tc>
                <w:tcPr>
                  <w:tcW w:w="600" w:type="dxa"/>
                  <w:shd w:val="clear" w:color="000000" w:fill="FFFFFF"/>
                </w:tcPr>
                <w:p w:rsidR="00632702" w:rsidRPr="005F1FAF" w:rsidRDefault="00DE00E8" w:rsidP="00B0425D">
                  <w:pPr>
                    <w:jc w:val="center"/>
                    <w:rPr>
                      <w:sz w:val="24"/>
                      <w:szCs w:val="24"/>
                      <w:lang w:val="en-US"/>
                    </w:rPr>
                  </w:pPr>
                  <w:r w:rsidRPr="005F1FAF">
                    <w:rPr>
                      <w:sz w:val="24"/>
                      <w:szCs w:val="24"/>
                      <w:lang w:val="en-US"/>
                    </w:rPr>
                    <w:t>34</w:t>
                  </w:r>
                </w:p>
              </w:tc>
              <w:tc>
                <w:tcPr>
                  <w:tcW w:w="1350" w:type="dxa"/>
                  <w:shd w:val="clear" w:color="000000" w:fill="FFFFFF"/>
                  <w:vAlign w:val="center"/>
                </w:tcPr>
                <w:p w:rsidR="00632702" w:rsidRPr="005F1FAF" w:rsidRDefault="00632702" w:rsidP="00B0425D">
                  <w:pPr>
                    <w:jc w:val="center"/>
                    <w:rPr>
                      <w:sz w:val="24"/>
                      <w:szCs w:val="24"/>
                      <w:lang w:val="en-US"/>
                    </w:rPr>
                  </w:pPr>
                  <w:r w:rsidRPr="005F1FAF">
                    <w:rPr>
                      <w:sz w:val="24"/>
                      <w:szCs w:val="24"/>
                      <w:lang w:val="en-US"/>
                    </w:rPr>
                    <w:t>155</w:t>
                  </w:r>
                </w:p>
              </w:tc>
              <w:tc>
                <w:tcPr>
                  <w:tcW w:w="1590" w:type="dxa"/>
                  <w:shd w:val="clear" w:color="auto" w:fill="auto"/>
                  <w:vAlign w:val="center"/>
                </w:tcPr>
                <w:p w:rsidR="00632702" w:rsidRPr="005F1FAF" w:rsidRDefault="00632702" w:rsidP="00B0425D">
                  <w:pPr>
                    <w:jc w:val="center"/>
                    <w:rPr>
                      <w:sz w:val="24"/>
                      <w:szCs w:val="24"/>
                      <w:lang w:val="en-US"/>
                    </w:rPr>
                  </w:pPr>
                  <w:r w:rsidRPr="005F1FAF">
                    <w:rPr>
                      <w:sz w:val="24"/>
                      <w:szCs w:val="24"/>
                      <w:lang w:val="en-US"/>
                    </w:rPr>
                    <w:t>1.116,28</w:t>
                  </w:r>
                </w:p>
              </w:tc>
              <w:tc>
                <w:tcPr>
                  <w:tcW w:w="2280" w:type="dxa"/>
                  <w:shd w:val="clear" w:color="auto" w:fill="auto"/>
                  <w:vAlign w:val="center"/>
                </w:tcPr>
                <w:p w:rsidR="00632702" w:rsidRPr="005F1FAF" w:rsidRDefault="00632702" w:rsidP="00B0425D">
                  <w:pPr>
                    <w:jc w:val="center"/>
                    <w:rPr>
                      <w:sz w:val="24"/>
                      <w:szCs w:val="24"/>
                      <w:lang w:val="en-US"/>
                    </w:rPr>
                  </w:pPr>
                  <w:r w:rsidRPr="005F1FAF">
                    <w:rPr>
                      <w:sz w:val="24"/>
                      <w:szCs w:val="24"/>
                      <w:lang w:val="en-US"/>
                    </w:rPr>
                    <w:t>25.707,80</w:t>
                  </w:r>
                </w:p>
              </w:tc>
              <w:tc>
                <w:tcPr>
                  <w:tcW w:w="1710" w:type="dxa"/>
                  <w:shd w:val="clear" w:color="auto" w:fill="auto"/>
                  <w:noWrap/>
                  <w:vAlign w:val="bottom"/>
                </w:tcPr>
                <w:p w:rsidR="00632702" w:rsidRPr="005F1FAF" w:rsidRDefault="002D0DAC" w:rsidP="00B0425D">
                  <w:pPr>
                    <w:jc w:val="right"/>
                    <w:rPr>
                      <w:sz w:val="24"/>
                      <w:szCs w:val="24"/>
                      <w:lang w:val="en-US"/>
                    </w:rPr>
                  </w:pPr>
                  <w:r w:rsidRPr="005F1FAF">
                    <w:rPr>
                      <w:sz w:val="24"/>
                      <w:szCs w:val="24"/>
                      <w:lang w:val="en-US"/>
                    </w:rPr>
                    <w:t>-</w:t>
                  </w:r>
                  <w:r w:rsidR="00632702" w:rsidRPr="005F1FAF">
                    <w:rPr>
                      <w:sz w:val="24"/>
                      <w:szCs w:val="24"/>
                      <w:lang w:val="en-US"/>
                    </w:rPr>
                    <w:t>24.591,52</w:t>
                  </w:r>
                </w:p>
              </w:tc>
            </w:tr>
            <w:tr w:rsidR="00DE00E8" w:rsidRPr="005F1FAF" w:rsidTr="0030115B">
              <w:trPr>
                <w:trHeight w:val="300"/>
                <w:jc w:val="center"/>
              </w:trPr>
              <w:tc>
                <w:tcPr>
                  <w:tcW w:w="600" w:type="dxa"/>
                  <w:vMerge w:val="restart"/>
                  <w:shd w:val="clear" w:color="000000" w:fill="FFFFFF"/>
                  <w:vAlign w:val="center"/>
                </w:tcPr>
                <w:p w:rsidR="00DE00E8" w:rsidRPr="005F1FAF" w:rsidRDefault="00DE00E8" w:rsidP="00B0425D">
                  <w:pPr>
                    <w:jc w:val="center"/>
                    <w:rPr>
                      <w:sz w:val="24"/>
                      <w:szCs w:val="24"/>
                      <w:lang w:val="en-US"/>
                    </w:rPr>
                  </w:pPr>
                  <w:r w:rsidRPr="005F1FAF">
                    <w:rPr>
                      <w:sz w:val="24"/>
                      <w:szCs w:val="24"/>
                      <w:lang w:val="en-US"/>
                    </w:rPr>
                    <w:lastRenderedPageBreak/>
                    <w:t>35</w:t>
                  </w:r>
                </w:p>
              </w:tc>
              <w:tc>
                <w:tcPr>
                  <w:tcW w:w="1350" w:type="dxa"/>
                  <w:shd w:val="clear" w:color="000000" w:fill="FFFFFF"/>
                  <w:vAlign w:val="center"/>
                </w:tcPr>
                <w:p w:rsidR="00DE00E8" w:rsidRPr="005F1FAF" w:rsidRDefault="00DE00E8" w:rsidP="00B0425D">
                  <w:pPr>
                    <w:jc w:val="center"/>
                    <w:rPr>
                      <w:sz w:val="24"/>
                      <w:szCs w:val="24"/>
                      <w:lang w:val="en-US"/>
                    </w:rPr>
                  </w:pPr>
                  <w:r w:rsidRPr="005F1FAF">
                    <w:rPr>
                      <w:sz w:val="24"/>
                      <w:szCs w:val="24"/>
                      <w:lang w:val="en-US"/>
                    </w:rPr>
                    <w:t>159</w:t>
                  </w:r>
                </w:p>
              </w:tc>
              <w:tc>
                <w:tcPr>
                  <w:tcW w:w="1590" w:type="dxa"/>
                  <w:shd w:val="clear" w:color="auto" w:fill="auto"/>
                  <w:vAlign w:val="center"/>
                </w:tcPr>
                <w:p w:rsidR="00DE00E8" w:rsidRPr="005F1FAF" w:rsidRDefault="00DE00E8" w:rsidP="00B0425D">
                  <w:pPr>
                    <w:jc w:val="center"/>
                    <w:rPr>
                      <w:sz w:val="24"/>
                      <w:szCs w:val="24"/>
                      <w:lang w:val="en-US"/>
                    </w:rPr>
                  </w:pPr>
                  <w:r w:rsidRPr="005F1FAF">
                    <w:rPr>
                      <w:sz w:val="24"/>
                      <w:szCs w:val="24"/>
                      <w:lang w:val="en-US"/>
                    </w:rPr>
                    <w:t>91.158,93</w:t>
                  </w:r>
                </w:p>
              </w:tc>
              <w:tc>
                <w:tcPr>
                  <w:tcW w:w="2280" w:type="dxa"/>
                  <w:vMerge w:val="restart"/>
                  <w:shd w:val="clear" w:color="auto" w:fill="auto"/>
                  <w:vAlign w:val="center"/>
                </w:tcPr>
                <w:p w:rsidR="00DE00E8" w:rsidRPr="005F1FAF" w:rsidRDefault="00DE00E8" w:rsidP="00B0425D">
                  <w:pPr>
                    <w:jc w:val="center"/>
                    <w:rPr>
                      <w:sz w:val="24"/>
                      <w:szCs w:val="24"/>
                      <w:lang w:val="en-US"/>
                    </w:rPr>
                  </w:pPr>
                  <w:r w:rsidRPr="005F1FAF">
                    <w:rPr>
                      <w:sz w:val="24"/>
                      <w:szCs w:val="24"/>
                      <w:lang w:val="en-US"/>
                    </w:rPr>
                    <w:t>244.734,00</w:t>
                  </w:r>
                </w:p>
              </w:tc>
              <w:tc>
                <w:tcPr>
                  <w:tcW w:w="1710" w:type="dxa"/>
                  <w:vMerge w:val="restart"/>
                  <w:shd w:val="clear" w:color="auto" w:fill="auto"/>
                  <w:noWrap/>
                  <w:vAlign w:val="center"/>
                </w:tcPr>
                <w:p w:rsidR="00DE00E8" w:rsidRPr="005F1FAF" w:rsidRDefault="00DE00E8" w:rsidP="00B0425D">
                  <w:pPr>
                    <w:jc w:val="right"/>
                    <w:rPr>
                      <w:sz w:val="24"/>
                      <w:szCs w:val="24"/>
                      <w:lang w:val="en-US"/>
                    </w:rPr>
                  </w:pPr>
                  <w:r w:rsidRPr="005F1FAF">
                    <w:rPr>
                      <w:sz w:val="24"/>
                      <w:szCs w:val="24"/>
                      <w:lang w:val="en-US"/>
                    </w:rPr>
                    <w:t>-142.106,15</w:t>
                  </w:r>
                </w:p>
              </w:tc>
            </w:tr>
            <w:tr w:rsidR="00DE00E8" w:rsidRPr="005F1FAF" w:rsidTr="0030115B">
              <w:trPr>
                <w:trHeight w:val="300"/>
                <w:jc w:val="center"/>
              </w:trPr>
              <w:tc>
                <w:tcPr>
                  <w:tcW w:w="600" w:type="dxa"/>
                  <w:vMerge/>
                  <w:shd w:val="clear" w:color="000000" w:fill="FFFFFF"/>
                </w:tcPr>
                <w:p w:rsidR="00DE00E8" w:rsidRPr="005F1FAF" w:rsidRDefault="00DE00E8" w:rsidP="00B0425D">
                  <w:pPr>
                    <w:jc w:val="center"/>
                    <w:rPr>
                      <w:sz w:val="24"/>
                      <w:szCs w:val="24"/>
                      <w:lang w:val="en-US"/>
                    </w:rPr>
                  </w:pPr>
                </w:p>
              </w:tc>
              <w:tc>
                <w:tcPr>
                  <w:tcW w:w="1350" w:type="dxa"/>
                  <w:shd w:val="clear" w:color="000000" w:fill="FFFFFF"/>
                  <w:vAlign w:val="center"/>
                </w:tcPr>
                <w:p w:rsidR="00DE00E8" w:rsidRPr="005F1FAF" w:rsidRDefault="00DE00E8" w:rsidP="00B0425D">
                  <w:pPr>
                    <w:jc w:val="center"/>
                    <w:rPr>
                      <w:sz w:val="24"/>
                      <w:szCs w:val="24"/>
                      <w:lang w:val="en-US"/>
                    </w:rPr>
                  </w:pPr>
                  <w:r w:rsidRPr="005F1FAF">
                    <w:rPr>
                      <w:sz w:val="24"/>
                      <w:szCs w:val="24"/>
                      <w:lang w:val="en-US"/>
                    </w:rPr>
                    <w:t>238</w:t>
                  </w:r>
                </w:p>
              </w:tc>
              <w:tc>
                <w:tcPr>
                  <w:tcW w:w="1590" w:type="dxa"/>
                  <w:shd w:val="clear" w:color="auto" w:fill="auto"/>
                  <w:vAlign w:val="center"/>
                </w:tcPr>
                <w:p w:rsidR="00DE00E8" w:rsidRPr="005F1FAF" w:rsidRDefault="00DE00E8" w:rsidP="00B0425D">
                  <w:pPr>
                    <w:jc w:val="center"/>
                    <w:rPr>
                      <w:sz w:val="24"/>
                      <w:szCs w:val="24"/>
                      <w:lang w:val="en-US"/>
                    </w:rPr>
                  </w:pPr>
                  <w:r w:rsidRPr="005F1FAF">
                    <w:rPr>
                      <w:sz w:val="24"/>
                      <w:szCs w:val="24"/>
                      <w:lang w:val="en-US"/>
                    </w:rPr>
                    <w:t>6.115,81</w:t>
                  </w:r>
                </w:p>
              </w:tc>
              <w:tc>
                <w:tcPr>
                  <w:tcW w:w="2280" w:type="dxa"/>
                  <w:vMerge/>
                  <w:shd w:val="clear" w:color="auto" w:fill="auto"/>
                  <w:vAlign w:val="center"/>
                </w:tcPr>
                <w:p w:rsidR="00DE00E8" w:rsidRPr="005F1FAF" w:rsidRDefault="00DE00E8" w:rsidP="00B0425D">
                  <w:pPr>
                    <w:jc w:val="center"/>
                    <w:rPr>
                      <w:sz w:val="24"/>
                      <w:szCs w:val="24"/>
                      <w:lang w:val="en-US"/>
                    </w:rPr>
                  </w:pPr>
                </w:p>
              </w:tc>
              <w:tc>
                <w:tcPr>
                  <w:tcW w:w="1710" w:type="dxa"/>
                  <w:vMerge/>
                  <w:shd w:val="clear" w:color="auto" w:fill="auto"/>
                  <w:noWrap/>
                  <w:vAlign w:val="bottom"/>
                </w:tcPr>
                <w:p w:rsidR="00DE00E8" w:rsidRPr="005F1FAF" w:rsidRDefault="00DE00E8" w:rsidP="00B0425D">
                  <w:pPr>
                    <w:jc w:val="right"/>
                    <w:rPr>
                      <w:sz w:val="24"/>
                      <w:szCs w:val="24"/>
                      <w:lang w:val="en-US"/>
                    </w:rPr>
                  </w:pPr>
                </w:p>
              </w:tc>
            </w:tr>
            <w:tr w:rsidR="00DE00E8" w:rsidRPr="005F1FAF" w:rsidTr="0030115B">
              <w:trPr>
                <w:trHeight w:val="300"/>
                <w:jc w:val="center"/>
              </w:trPr>
              <w:tc>
                <w:tcPr>
                  <w:tcW w:w="600" w:type="dxa"/>
                  <w:vMerge/>
                  <w:shd w:val="clear" w:color="000000" w:fill="FFFFFF"/>
                </w:tcPr>
                <w:p w:rsidR="00DE00E8" w:rsidRPr="005F1FAF" w:rsidRDefault="00DE00E8" w:rsidP="00B0425D">
                  <w:pPr>
                    <w:jc w:val="center"/>
                    <w:rPr>
                      <w:sz w:val="24"/>
                      <w:szCs w:val="24"/>
                      <w:lang w:val="en-US"/>
                    </w:rPr>
                  </w:pPr>
                </w:p>
              </w:tc>
              <w:tc>
                <w:tcPr>
                  <w:tcW w:w="1350" w:type="dxa"/>
                  <w:shd w:val="clear" w:color="000000" w:fill="FFFFFF"/>
                  <w:vAlign w:val="center"/>
                </w:tcPr>
                <w:p w:rsidR="00DE00E8" w:rsidRPr="005F1FAF" w:rsidRDefault="00DE00E8" w:rsidP="00B0425D">
                  <w:pPr>
                    <w:jc w:val="center"/>
                    <w:rPr>
                      <w:sz w:val="24"/>
                      <w:szCs w:val="24"/>
                      <w:lang w:val="en-US"/>
                    </w:rPr>
                  </w:pPr>
                  <w:r w:rsidRPr="005F1FAF">
                    <w:rPr>
                      <w:sz w:val="24"/>
                      <w:szCs w:val="24"/>
                      <w:lang w:val="en-US"/>
                    </w:rPr>
                    <w:t>239</w:t>
                  </w:r>
                </w:p>
              </w:tc>
              <w:tc>
                <w:tcPr>
                  <w:tcW w:w="1590" w:type="dxa"/>
                  <w:shd w:val="clear" w:color="auto" w:fill="auto"/>
                  <w:vAlign w:val="center"/>
                </w:tcPr>
                <w:p w:rsidR="00DE00E8" w:rsidRPr="005F1FAF" w:rsidRDefault="00DE00E8" w:rsidP="00B0425D">
                  <w:pPr>
                    <w:jc w:val="center"/>
                    <w:rPr>
                      <w:sz w:val="24"/>
                      <w:szCs w:val="24"/>
                      <w:lang w:val="en-US"/>
                    </w:rPr>
                  </w:pPr>
                  <w:r w:rsidRPr="005F1FAF">
                    <w:rPr>
                      <w:sz w:val="24"/>
                      <w:szCs w:val="24"/>
                      <w:lang w:val="en-US"/>
                    </w:rPr>
                    <w:t>1.053,43</w:t>
                  </w:r>
                </w:p>
              </w:tc>
              <w:tc>
                <w:tcPr>
                  <w:tcW w:w="2280" w:type="dxa"/>
                  <w:vMerge/>
                  <w:shd w:val="clear" w:color="auto" w:fill="auto"/>
                  <w:vAlign w:val="center"/>
                </w:tcPr>
                <w:p w:rsidR="00DE00E8" w:rsidRPr="005F1FAF" w:rsidRDefault="00DE00E8" w:rsidP="00B0425D">
                  <w:pPr>
                    <w:jc w:val="center"/>
                    <w:rPr>
                      <w:sz w:val="24"/>
                      <w:szCs w:val="24"/>
                      <w:lang w:val="en-US"/>
                    </w:rPr>
                  </w:pPr>
                </w:p>
              </w:tc>
              <w:tc>
                <w:tcPr>
                  <w:tcW w:w="1710" w:type="dxa"/>
                  <w:vMerge/>
                  <w:shd w:val="clear" w:color="auto" w:fill="auto"/>
                  <w:noWrap/>
                  <w:vAlign w:val="bottom"/>
                </w:tcPr>
                <w:p w:rsidR="00DE00E8" w:rsidRPr="005F1FAF" w:rsidRDefault="00DE00E8" w:rsidP="00B0425D">
                  <w:pPr>
                    <w:jc w:val="right"/>
                    <w:rPr>
                      <w:sz w:val="24"/>
                      <w:szCs w:val="24"/>
                      <w:lang w:val="en-US"/>
                    </w:rPr>
                  </w:pPr>
                </w:p>
              </w:tc>
            </w:tr>
            <w:tr w:rsidR="00DE00E8" w:rsidRPr="005F1FAF" w:rsidTr="0030115B">
              <w:trPr>
                <w:trHeight w:val="300"/>
                <w:jc w:val="center"/>
              </w:trPr>
              <w:tc>
                <w:tcPr>
                  <w:tcW w:w="600" w:type="dxa"/>
                  <w:vMerge/>
                  <w:shd w:val="clear" w:color="000000" w:fill="FFFFFF"/>
                </w:tcPr>
                <w:p w:rsidR="00DE00E8" w:rsidRPr="005F1FAF" w:rsidRDefault="00DE00E8" w:rsidP="00B0425D">
                  <w:pPr>
                    <w:jc w:val="center"/>
                    <w:rPr>
                      <w:sz w:val="24"/>
                      <w:szCs w:val="24"/>
                      <w:lang w:val="en-US"/>
                    </w:rPr>
                  </w:pPr>
                </w:p>
              </w:tc>
              <w:tc>
                <w:tcPr>
                  <w:tcW w:w="1350" w:type="dxa"/>
                  <w:shd w:val="clear" w:color="000000" w:fill="FFFFFF"/>
                  <w:vAlign w:val="center"/>
                </w:tcPr>
                <w:p w:rsidR="00DE00E8" w:rsidRPr="005F1FAF" w:rsidRDefault="00DE00E8" w:rsidP="00B0425D">
                  <w:pPr>
                    <w:jc w:val="center"/>
                    <w:rPr>
                      <w:sz w:val="24"/>
                      <w:szCs w:val="24"/>
                      <w:lang w:val="en-US"/>
                    </w:rPr>
                  </w:pPr>
                  <w:r w:rsidRPr="005F1FAF">
                    <w:rPr>
                      <w:sz w:val="24"/>
                      <w:szCs w:val="24"/>
                      <w:lang w:val="en-US"/>
                    </w:rPr>
                    <w:t>240</w:t>
                  </w:r>
                </w:p>
              </w:tc>
              <w:tc>
                <w:tcPr>
                  <w:tcW w:w="1590" w:type="dxa"/>
                  <w:shd w:val="clear" w:color="auto" w:fill="auto"/>
                  <w:vAlign w:val="center"/>
                </w:tcPr>
                <w:p w:rsidR="00DE00E8" w:rsidRPr="005F1FAF" w:rsidRDefault="00DE00E8" w:rsidP="00B0425D">
                  <w:pPr>
                    <w:jc w:val="center"/>
                    <w:rPr>
                      <w:sz w:val="24"/>
                      <w:szCs w:val="24"/>
                      <w:lang w:val="en-US"/>
                    </w:rPr>
                  </w:pPr>
                  <w:r w:rsidRPr="005F1FAF">
                    <w:rPr>
                      <w:sz w:val="24"/>
                      <w:szCs w:val="24"/>
                      <w:lang w:val="en-US"/>
                    </w:rPr>
                    <w:t>4.299,68</w:t>
                  </w:r>
                </w:p>
              </w:tc>
              <w:tc>
                <w:tcPr>
                  <w:tcW w:w="2280" w:type="dxa"/>
                  <w:vMerge/>
                  <w:shd w:val="clear" w:color="auto" w:fill="auto"/>
                  <w:vAlign w:val="center"/>
                </w:tcPr>
                <w:p w:rsidR="00DE00E8" w:rsidRPr="005F1FAF" w:rsidRDefault="00DE00E8" w:rsidP="00B0425D">
                  <w:pPr>
                    <w:jc w:val="center"/>
                    <w:rPr>
                      <w:sz w:val="24"/>
                      <w:szCs w:val="24"/>
                      <w:lang w:val="en-US"/>
                    </w:rPr>
                  </w:pPr>
                </w:p>
              </w:tc>
              <w:tc>
                <w:tcPr>
                  <w:tcW w:w="1710" w:type="dxa"/>
                  <w:vMerge/>
                  <w:shd w:val="clear" w:color="auto" w:fill="auto"/>
                  <w:noWrap/>
                  <w:vAlign w:val="bottom"/>
                </w:tcPr>
                <w:p w:rsidR="00DE00E8" w:rsidRPr="005F1FAF" w:rsidRDefault="00DE00E8" w:rsidP="00B0425D">
                  <w:pPr>
                    <w:jc w:val="right"/>
                    <w:rPr>
                      <w:sz w:val="24"/>
                      <w:szCs w:val="24"/>
                      <w:lang w:val="en-US"/>
                    </w:rPr>
                  </w:pPr>
                </w:p>
              </w:tc>
            </w:tr>
            <w:tr w:rsidR="00632702" w:rsidRPr="005F1FAF" w:rsidTr="0030115B">
              <w:trPr>
                <w:trHeight w:val="300"/>
                <w:jc w:val="center"/>
              </w:trPr>
              <w:tc>
                <w:tcPr>
                  <w:tcW w:w="600" w:type="dxa"/>
                  <w:shd w:val="clear" w:color="000000" w:fill="FFFFFF"/>
                </w:tcPr>
                <w:p w:rsidR="00632702" w:rsidRPr="005F1FAF" w:rsidRDefault="00DE00E8" w:rsidP="00B0425D">
                  <w:pPr>
                    <w:jc w:val="center"/>
                    <w:rPr>
                      <w:sz w:val="24"/>
                      <w:szCs w:val="24"/>
                      <w:lang w:val="en-US"/>
                    </w:rPr>
                  </w:pPr>
                  <w:r w:rsidRPr="005F1FAF">
                    <w:rPr>
                      <w:sz w:val="24"/>
                      <w:szCs w:val="24"/>
                      <w:lang w:val="en-US"/>
                    </w:rPr>
                    <w:t>36</w:t>
                  </w:r>
                </w:p>
              </w:tc>
              <w:tc>
                <w:tcPr>
                  <w:tcW w:w="1350" w:type="dxa"/>
                  <w:shd w:val="clear" w:color="000000" w:fill="FFFFFF"/>
                  <w:vAlign w:val="center"/>
                </w:tcPr>
                <w:p w:rsidR="00632702" w:rsidRPr="005F1FAF" w:rsidRDefault="00632702" w:rsidP="00B0425D">
                  <w:pPr>
                    <w:jc w:val="center"/>
                    <w:rPr>
                      <w:sz w:val="24"/>
                      <w:szCs w:val="24"/>
                      <w:lang w:val="en-US"/>
                    </w:rPr>
                  </w:pPr>
                  <w:r w:rsidRPr="005F1FAF">
                    <w:rPr>
                      <w:sz w:val="24"/>
                      <w:szCs w:val="24"/>
                      <w:lang w:val="en-US"/>
                    </w:rPr>
                    <w:t>160</w:t>
                  </w:r>
                </w:p>
              </w:tc>
              <w:tc>
                <w:tcPr>
                  <w:tcW w:w="1590" w:type="dxa"/>
                  <w:shd w:val="clear" w:color="auto" w:fill="auto"/>
                  <w:vAlign w:val="center"/>
                </w:tcPr>
                <w:p w:rsidR="00632702" w:rsidRPr="005F1FAF" w:rsidRDefault="00632702" w:rsidP="00B0425D">
                  <w:pPr>
                    <w:jc w:val="center"/>
                    <w:rPr>
                      <w:sz w:val="24"/>
                      <w:szCs w:val="24"/>
                      <w:lang w:val="en-US"/>
                    </w:rPr>
                  </w:pPr>
                  <w:r w:rsidRPr="005F1FAF">
                    <w:rPr>
                      <w:sz w:val="24"/>
                      <w:szCs w:val="24"/>
                      <w:lang w:val="en-US"/>
                    </w:rPr>
                    <w:t>45.286,88</w:t>
                  </w:r>
                </w:p>
              </w:tc>
              <w:tc>
                <w:tcPr>
                  <w:tcW w:w="2280" w:type="dxa"/>
                  <w:shd w:val="clear" w:color="auto" w:fill="auto"/>
                  <w:vAlign w:val="center"/>
                </w:tcPr>
                <w:p w:rsidR="00632702" w:rsidRPr="005F1FAF" w:rsidRDefault="00632702" w:rsidP="00B0425D">
                  <w:pPr>
                    <w:jc w:val="center"/>
                    <w:rPr>
                      <w:sz w:val="24"/>
                      <w:szCs w:val="24"/>
                      <w:lang w:val="en-US"/>
                    </w:rPr>
                  </w:pPr>
                  <w:r w:rsidRPr="005F1FAF">
                    <w:rPr>
                      <w:sz w:val="24"/>
                      <w:szCs w:val="24"/>
                      <w:lang w:val="en-US"/>
                    </w:rPr>
                    <w:t>47.073,52</w:t>
                  </w:r>
                </w:p>
              </w:tc>
              <w:tc>
                <w:tcPr>
                  <w:tcW w:w="1710" w:type="dxa"/>
                  <w:shd w:val="clear" w:color="auto" w:fill="auto"/>
                  <w:noWrap/>
                  <w:vAlign w:val="bottom"/>
                </w:tcPr>
                <w:p w:rsidR="00632702" w:rsidRPr="005F1FAF" w:rsidRDefault="002D0DAC" w:rsidP="00B0425D">
                  <w:pPr>
                    <w:jc w:val="right"/>
                    <w:rPr>
                      <w:sz w:val="24"/>
                      <w:szCs w:val="24"/>
                      <w:lang w:val="en-US"/>
                    </w:rPr>
                  </w:pPr>
                  <w:r w:rsidRPr="005F1FAF">
                    <w:rPr>
                      <w:sz w:val="24"/>
                      <w:szCs w:val="24"/>
                      <w:lang w:val="en-US"/>
                    </w:rPr>
                    <w:t>-</w:t>
                  </w:r>
                  <w:r w:rsidR="00632702" w:rsidRPr="005F1FAF">
                    <w:rPr>
                      <w:sz w:val="24"/>
                      <w:szCs w:val="24"/>
                      <w:lang w:val="en-US"/>
                    </w:rPr>
                    <w:t>1.786,64</w:t>
                  </w:r>
                </w:p>
              </w:tc>
            </w:tr>
            <w:tr w:rsidR="00DE00E8" w:rsidRPr="005F1FAF" w:rsidTr="0030115B">
              <w:trPr>
                <w:trHeight w:val="300"/>
                <w:jc w:val="center"/>
              </w:trPr>
              <w:tc>
                <w:tcPr>
                  <w:tcW w:w="600" w:type="dxa"/>
                  <w:vMerge w:val="restart"/>
                  <w:shd w:val="clear" w:color="000000" w:fill="FFFFFF"/>
                  <w:vAlign w:val="center"/>
                </w:tcPr>
                <w:p w:rsidR="00DE00E8" w:rsidRPr="005F1FAF" w:rsidRDefault="00DE00E8" w:rsidP="00B0425D">
                  <w:pPr>
                    <w:jc w:val="center"/>
                    <w:rPr>
                      <w:sz w:val="24"/>
                      <w:szCs w:val="24"/>
                      <w:lang w:val="en-US"/>
                    </w:rPr>
                  </w:pPr>
                  <w:r w:rsidRPr="005F1FAF">
                    <w:rPr>
                      <w:sz w:val="24"/>
                      <w:szCs w:val="24"/>
                      <w:lang w:val="en-US"/>
                    </w:rPr>
                    <w:t>38</w:t>
                  </w:r>
                </w:p>
              </w:tc>
              <w:tc>
                <w:tcPr>
                  <w:tcW w:w="1350" w:type="dxa"/>
                  <w:shd w:val="clear" w:color="000000" w:fill="FFFFFF"/>
                  <w:vAlign w:val="center"/>
                </w:tcPr>
                <w:p w:rsidR="00DE00E8" w:rsidRPr="005F1FAF" w:rsidRDefault="00DE00E8" w:rsidP="00B0425D">
                  <w:pPr>
                    <w:jc w:val="center"/>
                    <w:rPr>
                      <w:sz w:val="24"/>
                      <w:szCs w:val="24"/>
                      <w:lang w:val="en-US"/>
                    </w:rPr>
                  </w:pPr>
                  <w:r w:rsidRPr="005F1FAF">
                    <w:rPr>
                      <w:sz w:val="24"/>
                      <w:szCs w:val="24"/>
                      <w:lang w:val="en-US"/>
                    </w:rPr>
                    <w:t>162</w:t>
                  </w:r>
                </w:p>
              </w:tc>
              <w:tc>
                <w:tcPr>
                  <w:tcW w:w="1590" w:type="dxa"/>
                  <w:shd w:val="clear" w:color="auto" w:fill="auto"/>
                  <w:vAlign w:val="center"/>
                </w:tcPr>
                <w:p w:rsidR="00DE00E8" w:rsidRPr="005F1FAF" w:rsidRDefault="00DE00E8" w:rsidP="00B0425D">
                  <w:pPr>
                    <w:jc w:val="center"/>
                    <w:rPr>
                      <w:sz w:val="24"/>
                      <w:szCs w:val="24"/>
                      <w:lang w:val="en-US"/>
                    </w:rPr>
                  </w:pPr>
                  <w:r w:rsidRPr="005F1FAF">
                    <w:rPr>
                      <w:sz w:val="24"/>
                      <w:szCs w:val="24"/>
                      <w:lang w:val="en-US"/>
                    </w:rPr>
                    <w:t>199.398,72</w:t>
                  </w:r>
                </w:p>
              </w:tc>
              <w:tc>
                <w:tcPr>
                  <w:tcW w:w="2280" w:type="dxa"/>
                  <w:vMerge w:val="restart"/>
                  <w:shd w:val="clear" w:color="auto" w:fill="auto"/>
                  <w:vAlign w:val="center"/>
                </w:tcPr>
                <w:p w:rsidR="00DE00E8" w:rsidRPr="005F1FAF" w:rsidRDefault="00DE00E8" w:rsidP="00B0425D">
                  <w:pPr>
                    <w:jc w:val="center"/>
                    <w:rPr>
                      <w:sz w:val="24"/>
                      <w:szCs w:val="24"/>
                      <w:lang w:val="en-US"/>
                    </w:rPr>
                  </w:pPr>
                  <w:r w:rsidRPr="005F1FAF">
                    <w:rPr>
                      <w:sz w:val="24"/>
                      <w:szCs w:val="24"/>
                      <w:lang w:val="en-US"/>
                    </w:rPr>
                    <w:t>339.810,10</w:t>
                  </w:r>
                </w:p>
              </w:tc>
              <w:tc>
                <w:tcPr>
                  <w:tcW w:w="1710" w:type="dxa"/>
                  <w:vMerge w:val="restart"/>
                  <w:shd w:val="clear" w:color="auto" w:fill="auto"/>
                  <w:noWrap/>
                  <w:vAlign w:val="center"/>
                </w:tcPr>
                <w:p w:rsidR="00DE00E8" w:rsidRPr="005F1FAF" w:rsidRDefault="00DE00E8" w:rsidP="00B0425D">
                  <w:pPr>
                    <w:jc w:val="right"/>
                    <w:rPr>
                      <w:sz w:val="24"/>
                      <w:szCs w:val="24"/>
                      <w:lang w:val="en-US"/>
                    </w:rPr>
                  </w:pPr>
                  <w:r w:rsidRPr="005F1FAF">
                    <w:rPr>
                      <w:sz w:val="24"/>
                      <w:szCs w:val="24"/>
                      <w:lang w:val="en-US"/>
                    </w:rPr>
                    <w:t>46.415,16</w:t>
                  </w:r>
                </w:p>
              </w:tc>
            </w:tr>
            <w:tr w:rsidR="00DE00E8" w:rsidRPr="005F1FAF" w:rsidTr="0030115B">
              <w:trPr>
                <w:trHeight w:val="300"/>
                <w:jc w:val="center"/>
              </w:trPr>
              <w:tc>
                <w:tcPr>
                  <w:tcW w:w="600" w:type="dxa"/>
                  <w:vMerge/>
                  <w:shd w:val="clear" w:color="000000" w:fill="FFFFFF"/>
                </w:tcPr>
                <w:p w:rsidR="00DE00E8" w:rsidRPr="005F1FAF" w:rsidRDefault="00DE00E8" w:rsidP="00B0425D">
                  <w:pPr>
                    <w:jc w:val="center"/>
                    <w:rPr>
                      <w:sz w:val="24"/>
                      <w:szCs w:val="24"/>
                      <w:lang w:val="en-US"/>
                    </w:rPr>
                  </w:pPr>
                </w:p>
              </w:tc>
              <w:tc>
                <w:tcPr>
                  <w:tcW w:w="1350" w:type="dxa"/>
                  <w:shd w:val="clear" w:color="000000" w:fill="FFFFFF"/>
                  <w:vAlign w:val="center"/>
                </w:tcPr>
                <w:p w:rsidR="00DE00E8" w:rsidRPr="005F1FAF" w:rsidRDefault="00DE00E8" w:rsidP="00B0425D">
                  <w:pPr>
                    <w:jc w:val="center"/>
                    <w:rPr>
                      <w:sz w:val="24"/>
                      <w:szCs w:val="24"/>
                      <w:lang w:val="en-US"/>
                    </w:rPr>
                  </w:pPr>
                  <w:r w:rsidRPr="005F1FAF">
                    <w:rPr>
                      <w:sz w:val="24"/>
                      <w:szCs w:val="24"/>
                      <w:lang w:val="en-US"/>
                    </w:rPr>
                    <w:t>163</w:t>
                  </w:r>
                </w:p>
              </w:tc>
              <w:tc>
                <w:tcPr>
                  <w:tcW w:w="1590" w:type="dxa"/>
                  <w:shd w:val="clear" w:color="auto" w:fill="auto"/>
                  <w:vAlign w:val="center"/>
                </w:tcPr>
                <w:p w:rsidR="00DE00E8" w:rsidRPr="005F1FAF" w:rsidRDefault="00DE00E8" w:rsidP="00B0425D">
                  <w:pPr>
                    <w:jc w:val="center"/>
                    <w:rPr>
                      <w:sz w:val="24"/>
                      <w:szCs w:val="24"/>
                      <w:lang w:val="en-US"/>
                    </w:rPr>
                  </w:pPr>
                  <w:r w:rsidRPr="005F1FAF">
                    <w:rPr>
                      <w:sz w:val="24"/>
                      <w:szCs w:val="24"/>
                      <w:lang w:val="en-US"/>
                    </w:rPr>
                    <w:t>21.508,10</w:t>
                  </w:r>
                </w:p>
              </w:tc>
              <w:tc>
                <w:tcPr>
                  <w:tcW w:w="2280" w:type="dxa"/>
                  <w:vMerge/>
                  <w:shd w:val="clear" w:color="auto" w:fill="auto"/>
                  <w:vAlign w:val="center"/>
                </w:tcPr>
                <w:p w:rsidR="00DE00E8" w:rsidRPr="005F1FAF" w:rsidRDefault="00DE00E8" w:rsidP="00B0425D">
                  <w:pPr>
                    <w:jc w:val="center"/>
                    <w:rPr>
                      <w:sz w:val="24"/>
                      <w:szCs w:val="24"/>
                      <w:lang w:val="en-US"/>
                    </w:rPr>
                  </w:pPr>
                </w:p>
              </w:tc>
              <w:tc>
                <w:tcPr>
                  <w:tcW w:w="1710" w:type="dxa"/>
                  <w:vMerge/>
                  <w:shd w:val="clear" w:color="auto" w:fill="auto"/>
                  <w:noWrap/>
                  <w:vAlign w:val="bottom"/>
                </w:tcPr>
                <w:p w:rsidR="00DE00E8" w:rsidRPr="005F1FAF" w:rsidRDefault="00DE00E8" w:rsidP="00B0425D">
                  <w:pPr>
                    <w:jc w:val="right"/>
                    <w:rPr>
                      <w:sz w:val="24"/>
                      <w:szCs w:val="24"/>
                      <w:lang w:val="en-US"/>
                    </w:rPr>
                  </w:pPr>
                </w:p>
              </w:tc>
            </w:tr>
            <w:tr w:rsidR="00DE00E8" w:rsidRPr="005F1FAF" w:rsidTr="0030115B">
              <w:trPr>
                <w:trHeight w:val="300"/>
                <w:jc w:val="center"/>
              </w:trPr>
              <w:tc>
                <w:tcPr>
                  <w:tcW w:w="600" w:type="dxa"/>
                  <w:vMerge/>
                  <w:shd w:val="clear" w:color="000000" w:fill="FFFFFF"/>
                </w:tcPr>
                <w:p w:rsidR="00DE00E8" w:rsidRPr="005F1FAF" w:rsidRDefault="00DE00E8" w:rsidP="00B0425D">
                  <w:pPr>
                    <w:jc w:val="center"/>
                    <w:rPr>
                      <w:sz w:val="24"/>
                      <w:szCs w:val="24"/>
                      <w:lang w:val="en-US"/>
                    </w:rPr>
                  </w:pPr>
                </w:p>
              </w:tc>
              <w:tc>
                <w:tcPr>
                  <w:tcW w:w="1350" w:type="dxa"/>
                  <w:shd w:val="clear" w:color="000000" w:fill="FFFFFF"/>
                  <w:vAlign w:val="center"/>
                </w:tcPr>
                <w:p w:rsidR="00DE00E8" w:rsidRPr="005F1FAF" w:rsidRDefault="00DE00E8" w:rsidP="00B0425D">
                  <w:pPr>
                    <w:jc w:val="center"/>
                    <w:rPr>
                      <w:sz w:val="24"/>
                      <w:szCs w:val="24"/>
                      <w:lang w:val="en-US"/>
                    </w:rPr>
                  </w:pPr>
                  <w:r w:rsidRPr="005F1FAF">
                    <w:rPr>
                      <w:sz w:val="24"/>
                      <w:szCs w:val="24"/>
                      <w:lang w:val="en-US"/>
                    </w:rPr>
                    <w:t>164</w:t>
                  </w:r>
                </w:p>
              </w:tc>
              <w:tc>
                <w:tcPr>
                  <w:tcW w:w="1590" w:type="dxa"/>
                  <w:shd w:val="clear" w:color="auto" w:fill="auto"/>
                  <w:vAlign w:val="center"/>
                </w:tcPr>
                <w:p w:rsidR="00DE00E8" w:rsidRPr="005F1FAF" w:rsidRDefault="00DE00E8" w:rsidP="00B0425D">
                  <w:pPr>
                    <w:jc w:val="center"/>
                    <w:rPr>
                      <w:sz w:val="24"/>
                      <w:szCs w:val="24"/>
                      <w:lang w:val="en-US"/>
                    </w:rPr>
                  </w:pPr>
                  <w:r w:rsidRPr="005F1FAF">
                    <w:rPr>
                      <w:sz w:val="24"/>
                      <w:szCs w:val="24"/>
                      <w:lang w:val="en-US"/>
                    </w:rPr>
                    <w:t>21.366,05</w:t>
                  </w:r>
                </w:p>
              </w:tc>
              <w:tc>
                <w:tcPr>
                  <w:tcW w:w="2280" w:type="dxa"/>
                  <w:vMerge/>
                  <w:shd w:val="clear" w:color="auto" w:fill="auto"/>
                  <w:vAlign w:val="center"/>
                </w:tcPr>
                <w:p w:rsidR="00DE00E8" w:rsidRPr="005F1FAF" w:rsidRDefault="00DE00E8" w:rsidP="00B0425D">
                  <w:pPr>
                    <w:jc w:val="center"/>
                    <w:rPr>
                      <w:sz w:val="24"/>
                      <w:szCs w:val="24"/>
                      <w:lang w:val="en-US"/>
                    </w:rPr>
                  </w:pPr>
                </w:p>
              </w:tc>
              <w:tc>
                <w:tcPr>
                  <w:tcW w:w="1710" w:type="dxa"/>
                  <w:vMerge/>
                  <w:shd w:val="clear" w:color="auto" w:fill="auto"/>
                  <w:noWrap/>
                  <w:vAlign w:val="bottom"/>
                </w:tcPr>
                <w:p w:rsidR="00DE00E8" w:rsidRPr="005F1FAF" w:rsidRDefault="00DE00E8" w:rsidP="00B0425D">
                  <w:pPr>
                    <w:jc w:val="right"/>
                    <w:rPr>
                      <w:sz w:val="24"/>
                      <w:szCs w:val="24"/>
                      <w:lang w:val="en-US"/>
                    </w:rPr>
                  </w:pPr>
                </w:p>
              </w:tc>
            </w:tr>
            <w:tr w:rsidR="00DE00E8" w:rsidRPr="005F1FAF" w:rsidTr="0030115B">
              <w:trPr>
                <w:trHeight w:val="300"/>
                <w:jc w:val="center"/>
              </w:trPr>
              <w:tc>
                <w:tcPr>
                  <w:tcW w:w="600" w:type="dxa"/>
                  <w:vMerge/>
                  <w:shd w:val="clear" w:color="000000" w:fill="FFFFFF"/>
                </w:tcPr>
                <w:p w:rsidR="00DE00E8" w:rsidRPr="005F1FAF" w:rsidRDefault="00DE00E8" w:rsidP="00B0425D">
                  <w:pPr>
                    <w:jc w:val="center"/>
                    <w:rPr>
                      <w:sz w:val="24"/>
                      <w:szCs w:val="24"/>
                      <w:lang w:val="en-US"/>
                    </w:rPr>
                  </w:pPr>
                </w:p>
              </w:tc>
              <w:tc>
                <w:tcPr>
                  <w:tcW w:w="1350" w:type="dxa"/>
                  <w:shd w:val="clear" w:color="000000" w:fill="FFFFFF"/>
                  <w:vAlign w:val="center"/>
                </w:tcPr>
                <w:p w:rsidR="00DE00E8" w:rsidRPr="005F1FAF" w:rsidRDefault="00DE00E8" w:rsidP="00B0425D">
                  <w:pPr>
                    <w:jc w:val="center"/>
                    <w:rPr>
                      <w:sz w:val="24"/>
                      <w:szCs w:val="24"/>
                      <w:lang w:val="en-US"/>
                    </w:rPr>
                  </w:pPr>
                  <w:r w:rsidRPr="005F1FAF">
                    <w:rPr>
                      <w:sz w:val="24"/>
                      <w:szCs w:val="24"/>
                      <w:lang w:val="en-US"/>
                    </w:rPr>
                    <w:t>165</w:t>
                  </w:r>
                </w:p>
              </w:tc>
              <w:tc>
                <w:tcPr>
                  <w:tcW w:w="1590" w:type="dxa"/>
                  <w:shd w:val="clear" w:color="auto" w:fill="auto"/>
                  <w:vAlign w:val="center"/>
                </w:tcPr>
                <w:p w:rsidR="00DE00E8" w:rsidRPr="005F1FAF" w:rsidRDefault="00DE00E8" w:rsidP="00B0425D">
                  <w:pPr>
                    <w:jc w:val="center"/>
                    <w:rPr>
                      <w:sz w:val="24"/>
                      <w:szCs w:val="24"/>
                      <w:lang w:val="en-US"/>
                    </w:rPr>
                  </w:pPr>
                  <w:r w:rsidRPr="005F1FAF">
                    <w:rPr>
                      <w:sz w:val="24"/>
                      <w:szCs w:val="24"/>
                      <w:lang w:val="en-US"/>
                    </w:rPr>
                    <w:t>21.366,05</w:t>
                  </w:r>
                </w:p>
              </w:tc>
              <w:tc>
                <w:tcPr>
                  <w:tcW w:w="2280" w:type="dxa"/>
                  <w:vMerge/>
                  <w:shd w:val="clear" w:color="auto" w:fill="auto"/>
                  <w:vAlign w:val="center"/>
                </w:tcPr>
                <w:p w:rsidR="00DE00E8" w:rsidRPr="005F1FAF" w:rsidRDefault="00DE00E8" w:rsidP="00B0425D">
                  <w:pPr>
                    <w:jc w:val="center"/>
                    <w:rPr>
                      <w:sz w:val="24"/>
                      <w:szCs w:val="24"/>
                      <w:lang w:val="en-US"/>
                    </w:rPr>
                  </w:pPr>
                </w:p>
              </w:tc>
              <w:tc>
                <w:tcPr>
                  <w:tcW w:w="1710" w:type="dxa"/>
                  <w:vMerge/>
                  <w:shd w:val="clear" w:color="auto" w:fill="auto"/>
                  <w:noWrap/>
                  <w:vAlign w:val="bottom"/>
                </w:tcPr>
                <w:p w:rsidR="00DE00E8" w:rsidRPr="005F1FAF" w:rsidRDefault="00DE00E8" w:rsidP="00B0425D">
                  <w:pPr>
                    <w:jc w:val="right"/>
                    <w:rPr>
                      <w:sz w:val="24"/>
                      <w:szCs w:val="24"/>
                      <w:lang w:val="en-US"/>
                    </w:rPr>
                  </w:pPr>
                </w:p>
              </w:tc>
            </w:tr>
            <w:tr w:rsidR="00DE00E8" w:rsidRPr="005F1FAF" w:rsidTr="0030115B">
              <w:trPr>
                <w:trHeight w:val="300"/>
                <w:jc w:val="center"/>
              </w:trPr>
              <w:tc>
                <w:tcPr>
                  <w:tcW w:w="600" w:type="dxa"/>
                  <w:vMerge/>
                  <w:shd w:val="clear" w:color="000000" w:fill="FFFFFF"/>
                </w:tcPr>
                <w:p w:rsidR="00DE00E8" w:rsidRPr="005F1FAF" w:rsidRDefault="00DE00E8" w:rsidP="00B0425D">
                  <w:pPr>
                    <w:jc w:val="center"/>
                    <w:rPr>
                      <w:sz w:val="24"/>
                      <w:szCs w:val="24"/>
                      <w:lang w:val="en-US"/>
                    </w:rPr>
                  </w:pPr>
                </w:p>
              </w:tc>
              <w:tc>
                <w:tcPr>
                  <w:tcW w:w="1350" w:type="dxa"/>
                  <w:shd w:val="clear" w:color="000000" w:fill="FFFFFF"/>
                  <w:vAlign w:val="center"/>
                </w:tcPr>
                <w:p w:rsidR="00DE00E8" w:rsidRPr="005F1FAF" w:rsidRDefault="00DE00E8" w:rsidP="00B0425D">
                  <w:pPr>
                    <w:jc w:val="center"/>
                    <w:rPr>
                      <w:sz w:val="24"/>
                      <w:szCs w:val="24"/>
                      <w:lang w:val="en-US"/>
                    </w:rPr>
                  </w:pPr>
                  <w:r w:rsidRPr="005F1FAF">
                    <w:rPr>
                      <w:sz w:val="24"/>
                      <w:szCs w:val="24"/>
                      <w:lang w:val="en-US"/>
                    </w:rPr>
                    <w:t>166</w:t>
                  </w:r>
                </w:p>
              </w:tc>
              <w:tc>
                <w:tcPr>
                  <w:tcW w:w="1590" w:type="dxa"/>
                  <w:shd w:val="clear" w:color="auto" w:fill="auto"/>
                  <w:vAlign w:val="center"/>
                </w:tcPr>
                <w:p w:rsidR="00DE00E8" w:rsidRPr="005F1FAF" w:rsidRDefault="00DE00E8" w:rsidP="00B0425D">
                  <w:pPr>
                    <w:jc w:val="center"/>
                    <w:rPr>
                      <w:sz w:val="24"/>
                      <w:szCs w:val="24"/>
                      <w:lang w:val="en-US"/>
                    </w:rPr>
                  </w:pPr>
                  <w:r w:rsidRPr="005F1FAF">
                    <w:rPr>
                      <w:sz w:val="24"/>
                      <w:szCs w:val="24"/>
                      <w:lang w:val="en-US"/>
                    </w:rPr>
                    <w:t>122.586,34</w:t>
                  </w:r>
                </w:p>
              </w:tc>
              <w:tc>
                <w:tcPr>
                  <w:tcW w:w="2280" w:type="dxa"/>
                  <w:vMerge/>
                  <w:shd w:val="clear" w:color="auto" w:fill="auto"/>
                  <w:vAlign w:val="center"/>
                </w:tcPr>
                <w:p w:rsidR="00DE00E8" w:rsidRPr="005F1FAF" w:rsidRDefault="00DE00E8" w:rsidP="00B0425D">
                  <w:pPr>
                    <w:jc w:val="center"/>
                    <w:rPr>
                      <w:sz w:val="24"/>
                      <w:szCs w:val="24"/>
                      <w:lang w:val="en-US"/>
                    </w:rPr>
                  </w:pPr>
                </w:p>
              </w:tc>
              <w:tc>
                <w:tcPr>
                  <w:tcW w:w="1710" w:type="dxa"/>
                  <w:vMerge/>
                  <w:shd w:val="clear" w:color="auto" w:fill="auto"/>
                  <w:noWrap/>
                  <w:vAlign w:val="bottom"/>
                </w:tcPr>
                <w:p w:rsidR="00DE00E8" w:rsidRPr="005F1FAF" w:rsidRDefault="00DE00E8" w:rsidP="00B0425D">
                  <w:pPr>
                    <w:jc w:val="right"/>
                    <w:rPr>
                      <w:sz w:val="24"/>
                      <w:szCs w:val="24"/>
                      <w:lang w:val="en-US"/>
                    </w:rPr>
                  </w:pPr>
                </w:p>
              </w:tc>
            </w:tr>
            <w:tr w:rsidR="00DE00E8" w:rsidRPr="005F1FAF" w:rsidTr="0030115B">
              <w:trPr>
                <w:trHeight w:val="300"/>
                <w:jc w:val="center"/>
              </w:trPr>
              <w:tc>
                <w:tcPr>
                  <w:tcW w:w="600" w:type="dxa"/>
                  <w:vMerge w:val="restart"/>
                  <w:shd w:val="clear" w:color="000000" w:fill="FFFFFF"/>
                  <w:vAlign w:val="center"/>
                </w:tcPr>
                <w:p w:rsidR="00DE00E8" w:rsidRPr="005F1FAF" w:rsidRDefault="00DE00E8" w:rsidP="00B0425D">
                  <w:pPr>
                    <w:jc w:val="center"/>
                    <w:rPr>
                      <w:sz w:val="24"/>
                      <w:szCs w:val="24"/>
                      <w:lang w:val="en-US"/>
                    </w:rPr>
                  </w:pPr>
                  <w:r w:rsidRPr="005F1FAF">
                    <w:rPr>
                      <w:sz w:val="24"/>
                      <w:szCs w:val="24"/>
                      <w:lang w:val="en-US"/>
                    </w:rPr>
                    <w:t>40</w:t>
                  </w:r>
                </w:p>
              </w:tc>
              <w:tc>
                <w:tcPr>
                  <w:tcW w:w="1350" w:type="dxa"/>
                  <w:shd w:val="clear" w:color="000000" w:fill="FFFFFF"/>
                  <w:vAlign w:val="center"/>
                </w:tcPr>
                <w:p w:rsidR="00DE00E8" w:rsidRPr="005F1FAF" w:rsidRDefault="00DE00E8" w:rsidP="00B0425D">
                  <w:pPr>
                    <w:jc w:val="center"/>
                    <w:rPr>
                      <w:sz w:val="24"/>
                      <w:szCs w:val="24"/>
                      <w:lang w:val="en-US"/>
                    </w:rPr>
                  </w:pPr>
                  <w:r w:rsidRPr="005F1FAF">
                    <w:rPr>
                      <w:sz w:val="24"/>
                      <w:szCs w:val="24"/>
                      <w:lang w:val="en-US"/>
                    </w:rPr>
                    <w:t>188</w:t>
                  </w:r>
                </w:p>
              </w:tc>
              <w:tc>
                <w:tcPr>
                  <w:tcW w:w="1590" w:type="dxa"/>
                  <w:shd w:val="clear" w:color="auto" w:fill="auto"/>
                  <w:vAlign w:val="center"/>
                </w:tcPr>
                <w:p w:rsidR="00DE00E8" w:rsidRPr="005F1FAF" w:rsidRDefault="00DE00E8" w:rsidP="00B0425D">
                  <w:pPr>
                    <w:jc w:val="center"/>
                    <w:rPr>
                      <w:sz w:val="24"/>
                      <w:szCs w:val="24"/>
                      <w:lang w:val="en-US"/>
                    </w:rPr>
                  </w:pPr>
                  <w:r w:rsidRPr="005F1FAF">
                    <w:rPr>
                      <w:sz w:val="24"/>
                      <w:szCs w:val="24"/>
                      <w:lang w:val="en-US"/>
                    </w:rPr>
                    <w:t>253,11</w:t>
                  </w:r>
                </w:p>
              </w:tc>
              <w:tc>
                <w:tcPr>
                  <w:tcW w:w="2280" w:type="dxa"/>
                  <w:vMerge w:val="restart"/>
                  <w:shd w:val="clear" w:color="auto" w:fill="auto"/>
                  <w:vAlign w:val="center"/>
                </w:tcPr>
                <w:p w:rsidR="00DE00E8" w:rsidRPr="005F1FAF" w:rsidRDefault="00DE00E8" w:rsidP="00B0425D">
                  <w:pPr>
                    <w:jc w:val="center"/>
                    <w:rPr>
                      <w:sz w:val="24"/>
                      <w:szCs w:val="24"/>
                      <w:lang w:val="en-US"/>
                    </w:rPr>
                  </w:pPr>
                  <w:r w:rsidRPr="005F1FAF">
                    <w:rPr>
                      <w:sz w:val="24"/>
                      <w:szCs w:val="24"/>
                      <w:lang w:val="en-US"/>
                    </w:rPr>
                    <w:t>799,11</w:t>
                  </w:r>
                </w:p>
              </w:tc>
              <w:tc>
                <w:tcPr>
                  <w:tcW w:w="1710" w:type="dxa"/>
                  <w:vMerge w:val="restart"/>
                  <w:shd w:val="clear" w:color="auto" w:fill="auto"/>
                  <w:noWrap/>
                  <w:vAlign w:val="center"/>
                </w:tcPr>
                <w:p w:rsidR="00DE00E8" w:rsidRPr="005F1FAF" w:rsidRDefault="00DE00E8" w:rsidP="00B0425D">
                  <w:pPr>
                    <w:jc w:val="right"/>
                    <w:rPr>
                      <w:sz w:val="24"/>
                      <w:szCs w:val="24"/>
                      <w:lang w:val="en-US"/>
                    </w:rPr>
                  </w:pPr>
                  <w:r w:rsidRPr="005F1FAF">
                    <w:rPr>
                      <w:sz w:val="24"/>
                      <w:szCs w:val="24"/>
                      <w:lang w:val="en-US"/>
                    </w:rPr>
                    <w:t>-39,78</w:t>
                  </w:r>
                </w:p>
              </w:tc>
            </w:tr>
            <w:tr w:rsidR="00DE00E8" w:rsidRPr="005F1FAF" w:rsidTr="0030115B">
              <w:trPr>
                <w:trHeight w:val="300"/>
                <w:jc w:val="center"/>
              </w:trPr>
              <w:tc>
                <w:tcPr>
                  <w:tcW w:w="600" w:type="dxa"/>
                  <w:vMerge/>
                  <w:shd w:val="clear" w:color="000000" w:fill="FFFFFF"/>
                </w:tcPr>
                <w:p w:rsidR="00DE00E8" w:rsidRPr="005F1FAF" w:rsidRDefault="00DE00E8" w:rsidP="00B0425D">
                  <w:pPr>
                    <w:jc w:val="center"/>
                    <w:rPr>
                      <w:sz w:val="24"/>
                      <w:szCs w:val="24"/>
                      <w:lang w:val="en-US"/>
                    </w:rPr>
                  </w:pPr>
                </w:p>
              </w:tc>
              <w:tc>
                <w:tcPr>
                  <w:tcW w:w="1350" w:type="dxa"/>
                  <w:shd w:val="clear" w:color="000000" w:fill="FFFFFF"/>
                  <w:vAlign w:val="center"/>
                </w:tcPr>
                <w:p w:rsidR="00DE00E8" w:rsidRPr="005F1FAF" w:rsidRDefault="00DE00E8" w:rsidP="00B0425D">
                  <w:pPr>
                    <w:jc w:val="center"/>
                    <w:rPr>
                      <w:sz w:val="24"/>
                      <w:szCs w:val="24"/>
                      <w:lang w:val="en-US"/>
                    </w:rPr>
                  </w:pPr>
                  <w:r w:rsidRPr="005F1FAF">
                    <w:rPr>
                      <w:sz w:val="24"/>
                      <w:szCs w:val="24"/>
                      <w:lang w:val="en-US"/>
                    </w:rPr>
                    <w:t>189</w:t>
                  </w:r>
                </w:p>
              </w:tc>
              <w:tc>
                <w:tcPr>
                  <w:tcW w:w="1590" w:type="dxa"/>
                  <w:shd w:val="clear" w:color="auto" w:fill="auto"/>
                  <w:vAlign w:val="center"/>
                </w:tcPr>
                <w:p w:rsidR="00DE00E8" w:rsidRPr="005F1FAF" w:rsidRDefault="00DE00E8" w:rsidP="00B0425D">
                  <w:pPr>
                    <w:jc w:val="center"/>
                    <w:rPr>
                      <w:sz w:val="24"/>
                      <w:szCs w:val="24"/>
                      <w:lang w:val="en-US"/>
                    </w:rPr>
                  </w:pPr>
                  <w:r w:rsidRPr="005F1FAF">
                    <w:rPr>
                      <w:sz w:val="24"/>
                      <w:szCs w:val="24"/>
                      <w:lang w:val="en-US"/>
                    </w:rPr>
                    <w:t>506,22</w:t>
                  </w:r>
                </w:p>
              </w:tc>
              <w:tc>
                <w:tcPr>
                  <w:tcW w:w="2280" w:type="dxa"/>
                  <w:vMerge/>
                  <w:shd w:val="clear" w:color="auto" w:fill="auto"/>
                  <w:vAlign w:val="center"/>
                </w:tcPr>
                <w:p w:rsidR="00DE00E8" w:rsidRPr="005F1FAF" w:rsidRDefault="00DE00E8" w:rsidP="00B0425D">
                  <w:pPr>
                    <w:jc w:val="center"/>
                    <w:rPr>
                      <w:sz w:val="24"/>
                      <w:szCs w:val="24"/>
                      <w:lang w:val="en-US"/>
                    </w:rPr>
                  </w:pPr>
                </w:p>
              </w:tc>
              <w:tc>
                <w:tcPr>
                  <w:tcW w:w="1710" w:type="dxa"/>
                  <w:vMerge/>
                  <w:shd w:val="clear" w:color="auto" w:fill="auto"/>
                  <w:noWrap/>
                  <w:vAlign w:val="bottom"/>
                </w:tcPr>
                <w:p w:rsidR="00DE00E8" w:rsidRPr="005F1FAF" w:rsidRDefault="00DE00E8" w:rsidP="00B0425D">
                  <w:pPr>
                    <w:jc w:val="right"/>
                    <w:rPr>
                      <w:sz w:val="24"/>
                      <w:szCs w:val="24"/>
                      <w:lang w:val="en-US"/>
                    </w:rPr>
                  </w:pPr>
                </w:p>
              </w:tc>
            </w:tr>
            <w:tr w:rsidR="00DE00E8" w:rsidRPr="005F1FAF" w:rsidTr="0030115B">
              <w:trPr>
                <w:trHeight w:val="341"/>
                <w:jc w:val="center"/>
              </w:trPr>
              <w:tc>
                <w:tcPr>
                  <w:tcW w:w="600" w:type="dxa"/>
                  <w:vMerge w:val="restart"/>
                  <w:shd w:val="clear" w:color="000000" w:fill="FFFFFF"/>
                  <w:vAlign w:val="center"/>
                </w:tcPr>
                <w:p w:rsidR="00DE00E8" w:rsidRPr="005F1FAF" w:rsidRDefault="00DE00E8" w:rsidP="00B0425D">
                  <w:pPr>
                    <w:jc w:val="center"/>
                    <w:rPr>
                      <w:sz w:val="24"/>
                      <w:szCs w:val="24"/>
                      <w:lang w:val="en-US"/>
                    </w:rPr>
                  </w:pPr>
                  <w:r w:rsidRPr="005F1FAF">
                    <w:rPr>
                      <w:sz w:val="24"/>
                      <w:szCs w:val="24"/>
                      <w:lang w:val="en-US"/>
                    </w:rPr>
                    <w:t>41</w:t>
                  </w:r>
                </w:p>
              </w:tc>
              <w:tc>
                <w:tcPr>
                  <w:tcW w:w="1350" w:type="dxa"/>
                  <w:shd w:val="clear" w:color="000000" w:fill="FFFFFF"/>
                  <w:vAlign w:val="center"/>
                </w:tcPr>
                <w:p w:rsidR="00DE00E8" w:rsidRPr="005F1FAF" w:rsidRDefault="00DE00E8" w:rsidP="00B0425D">
                  <w:pPr>
                    <w:jc w:val="center"/>
                    <w:rPr>
                      <w:sz w:val="24"/>
                      <w:szCs w:val="24"/>
                      <w:lang w:val="en-US"/>
                    </w:rPr>
                  </w:pPr>
                  <w:r w:rsidRPr="005F1FAF">
                    <w:rPr>
                      <w:sz w:val="24"/>
                      <w:szCs w:val="24"/>
                      <w:lang w:val="en-US"/>
                    </w:rPr>
                    <w:t>200</w:t>
                  </w:r>
                </w:p>
              </w:tc>
              <w:tc>
                <w:tcPr>
                  <w:tcW w:w="1590" w:type="dxa"/>
                  <w:shd w:val="clear" w:color="auto" w:fill="auto"/>
                  <w:vAlign w:val="center"/>
                </w:tcPr>
                <w:p w:rsidR="00DE00E8" w:rsidRPr="005F1FAF" w:rsidRDefault="00DE00E8" w:rsidP="00B0425D">
                  <w:pPr>
                    <w:jc w:val="center"/>
                    <w:rPr>
                      <w:sz w:val="24"/>
                      <w:szCs w:val="24"/>
                      <w:lang w:val="en-US"/>
                    </w:rPr>
                  </w:pPr>
                  <w:r w:rsidRPr="005F1FAF">
                    <w:rPr>
                      <w:sz w:val="24"/>
                      <w:szCs w:val="24"/>
                      <w:lang w:val="en-US"/>
                    </w:rPr>
                    <w:t>441,32</w:t>
                  </w:r>
                </w:p>
              </w:tc>
              <w:tc>
                <w:tcPr>
                  <w:tcW w:w="2280" w:type="dxa"/>
                  <w:vMerge w:val="restart"/>
                  <w:shd w:val="clear" w:color="auto" w:fill="auto"/>
                  <w:vAlign w:val="center"/>
                </w:tcPr>
                <w:p w:rsidR="00DE00E8" w:rsidRPr="005F1FAF" w:rsidRDefault="00DE00E8" w:rsidP="00B0425D">
                  <w:pPr>
                    <w:jc w:val="center"/>
                    <w:rPr>
                      <w:sz w:val="24"/>
                      <w:szCs w:val="24"/>
                      <w:lang w:val="en-US"/>
                    </w:rPr>
                  </w:pPr>
                  <w:r w:rsidRPr="005F1FAF">
                    <w:rPr>
                      <w:sz w:val="24"/>
                      <w:szCs w:val="24"/>
                      <w:lang w:val="en-US"/>
                    </w:rPr>
                    <w:t>2.752,49</w:t>
                  </w:r>
                </w:p>
              </w:tc>
              <w:tc>
                <w:tcPr>
                  <w:tcW w:w="1710" w:type="dxa"/>
                  <w:vMerge w:val="restart"/>
                  <w:shd w:val="clear" w:color="auto" w:fill="auto"/>
                  <w:noWrap/>
                  <w:vAlign w:val="center"/>
                </w:tcPr>
                <w:p w:rsidR="00DE00E8" w:rsidRPr="005F1FAF" w:rsidRDefault="00DE00E8" w:rsidP="00B0425D">
                  <w:pPr>
                    <w:jc w:val="right"/>
                    <w:rPr>
                      <w:sz w:val="24"/>
                      <w:szCs w:val="24"/>
                      <w:lang w:val="en-US"/>
                    </w:rPr>
                  </w:pPr>
                  <w:r w:rsidRPr="005F1FAF">
                    <w:rPr>
                      <w:sz w:val="24"/>
                      <w:szCs w:val="24"/>
                      <w:lang w:val="en-US"/>
                    </w:rPr>
                    <w:t>-137,02</w:t>
                  </w:r>
                </w:p>
              </w:tc>
            </w:tr>
            <w:tr w:rsidR="00DE00E8" w:rsidRPr="005F1FAF" w:rsidTr="0030115B">
              <w:trPr>
                <w:trHeight w:val="341"/>
                <w:jc w:val="center"/>
              </w:trPr>
              <w:tc>
                <w:tcPr>
                  <w:tcW w:w="600" w:type="dxa"/>
                  <w:vMerge/>
                  <w:shd w:val="clear" w:color="000000" w:fill="FFFFFF"/>
                </w:tcPr>
                <w:p w:rsidR="00DE00E8" w:rsidRPr="005F1FAF" w:rsidRDefault="00DE00E8" w:rsidP="00B0425D">
                  <w:pPr>
                    <w:jc w:val="center"/>
                    <w:rPr>
                      <w:sz w:val="24"/>
                      <w:szCs w:val="24"/>
                      <w:lang w:val="en-US"/>
                    </w:rPr>
                  </w:pPr>
                </w:p>
              </w:tc>
              <w:tc>
                <w:tcPr>
                  <w:tcW w:w="1350" w:type="dxa"/>
                  <w:shd w:val="clear" w:color="000000" w:fill="FFFFFF"/>
                  <w:vAlign w:val="center"/>
                </w:tcPr>
                <w:p w:rsidR="00DE00E8" w:rsidRPr="005F1FAF" w:rsidRDefault="00DE00E8" w:rsidP="00B0425D">
                  <w:pPr>
                    <w:jc w:val="center"/>
                    <w:rPr>
                      <w:sz w:val="24"/>
                      <w:szCs w:val="24"/>
                      <w:lang w:val="en-US"/>
                    </w:rPr>
                  </w:pPr>
                  <w:r w:rsidRPr="005F1FAF">
                    <w:rPr>
                      <w:sz w:val="24"/>
                      <w:szCs w:val="24"/>
                      <w:lang w:val="en-US"/>
                    </w:rPr>
                    <w:t>201</w:t>
                  </w:r>
                </w:p>
              </w:tc>
              <w:tc>
                <w:tcPr>
                  <w:tcW w:w="1590" w:type="dxa"/>
                  <w:shd w:val="clear" w:color="auto" w:fill="auto"/>
                  <w:vAlign w:val="center"/>
                </w:tcPr>
                <w:p w:rsidR="00DE00E8" w:rsidRPr="005F1FAF" w:rsidRDefault="00DE00E8" w:rsidP="00B0425D">
                  <w:pPr>
                    <w:jc w:val="center"/>
                    <w:rPr>
                      <w:sz w:val="24"/>
                      <w:szCs w:val="24"/>
                      <w:lang w:val="en-US"/>
                    </w:rPr>
                  </w:pPr>
                  <w:r w:rsidRPr="005F1FAF">
                    <w:rPr>
                      <w:sz w:val="24"/>
                      <w:szCs w:val="24"/>
                      <w:lang w:val="en-US"/>
                    </w:rPr>
                    <w:t>441,32</w:t>
                  </w:r>
                </w:p>
              </w:tc>
              <w:tc>
                <w:tcPr>
                  <w:tcW w:w="2280" w:type="dxa"/>
                  <w:vMerge/>
                  <w:shd w:val="clear" w:color="auto" w:fill="auto"/>
                  <w:vAlign w:val="center"/>
                </w:tcPr>
                <w:p w:rsidR="00DE00E8" w:rsidRPr="005F1FAF" w:rsidRDefault="00DE00E8" w:rsidP="00B0425D">
                  <w:pPr>
                    <w:jc w:val="center"/>
                    <w:rPr>
                      <w:sz w:val="24"/>
                      <w:szCs w:val="24"/>
                      <w:lang w:val="en-US"/>
                    </w:rPr>
                  </w:pPr>
                </w:p>
              </w:tc>
              <w:tc>
                <w:tcPr>
                  <w:tcW w:w="1710" w:type="dxa"/>
                  <w:vMerge/>
                  <w:shd w:val="clear" w:color="auto" w:fill="auto"/>
                  <w:noWrap/>
                  <w:vAlign w:val="bottom"/>
                </w:tcPr>
                <w:p w:rsidR="00DE00E8" w:rsidRPr="005F1FAF" w:rsidRDefault="00DE00E8" w:rsidP="00B0425D">
                  <w:pPr>
                    <w:jc w:val="right"/>
                    <w:rPr>
                      <w:sz w:val="24"/>
                      <w:szCs w:val="24"/>
                      <w:lang w:val="en-US"/>
                    </w:rPr>
                  </w:pPr>
                </w:p>
              </w:tc>
            </w:tr>
            <w:tr w:rsidR="00DE00E8" w:rsidRPr="005F1FAF" w:rsidTr="0030115B">
              <w:trPr>
                <w:trHeight w:val="341"/>
                <w:jc w:val="center"/>
              </w:trPr>
              <w:tc>
                <w:tcPr>
                  <w:tcW w:w="600" w:type="dxa"/>
                  <w:vMerge/>
                  <w:shd w:val="clear" w:color="000000" w:fill="FFFFFF"/>
                </w:tcPr>
                <w:p w:rsidR="00DE00E8" w:rsidRPr="005F1FAF" w:rsidRDefault="00DE00E8" w:rsidP="00B0425D">
                  <w:pPr>
                    <w:jc w:val="center"/>
                    <w:rPr>
                      <w:sz w:val="24"/>
                      <w:szCs w:val="24"/>
                      <w:lang w:val="en-US"/>
                    </w:rPr>
                  </w:pPr>
                </w:p>
              </w:tc>
              <w:tc>
                <w:tcPr>
                  <w:tcW w:w="1350" w:type="dxa"/>
                  <w:shd w:val="clear" w:color="000000" w:fill="FFFFFF"/>
                  <w:vAlign w:val="center"/>
                </w:tcPr>
                <w:p w:rsidR="00DE00E8" w:rsidRPr="005F1FAF" w:rsidRDefault="00DE00E8" w:rsidP="00B0425D">
                  <w:pPr>
                    <w:jc w:val="center"/>
                    <w:rPr>
                      <w:sz w:val="24"/>
                      <w:szCs w:val="24"/>
                      <w:lang w:val="en-US"/>
                    </w:rPr>
                  </w:pPr>
                  <w:r w:rsidRPr="005F1FAF">
                    <w:rPr>
                      <w:sz w:val="24"/>
                      <w:szCs w:val="24"/>
                      <w:lang w:val="en-US"/>
                    </w:rPr>
                    <w:t>202</w:t>
                  </w:r>
                </w:p>
              </w:tc>
              <w:tc>
                <w:tcPr>
                  <w:tcW w:w="1590" w:type="dxa"/>
                  <w:shd w:val="clear" w:color="auto" w:fill="auto"/>
                  <w:vAlign w:val="center"/>
                </w:tcPr>
                <w:p w:rsidR="00DE00E8" w:rsidRPr="005F1FAF" w:rsidRDefault="00DE00E8" w:rsidP="00B0425D">
                  <w:pPr>
                    <w:jc w:val="center"/>
                    <w:rPr>
                      <w:sz w:val="24"/>
                      <w:szCs w:val="24"/>
                      <w:lang w:val="en-US"/>
                    </w:rPr>
                  </w:pPr>
                  <w:r w:rsidRPr="005F1FAF">
                    <w:rPr>
                      <w:sz w:val="24"/>
                      <w:szCs w:val="24"/>
                      <w:lang w:val="en-US"/>
                    </w:rPr>
                    <w:t>1.732,83</w:t>
                  </w:r>
                </w:p>
              </w:tc>
              <w:tc>
                <w:tcPr>
                  <w:tcW w:w="2280" w:type="dxa"/>
                  <w:vMerge/>
                  <w:shd w:val="clear" w:color="auto" w:fill="auto"/>
                  <w:vAlign w:val="center"/>
                </w:tcPr>
                <w:p w:rsidR="00DE00E8" w:rsidRPr="005F1FAF" w:rsidRDefault="00DE00E8" w:rsidP="00B0425D">
                  <w:pPr>
                    <w:jc w:val="center"/>
                    <w:rPr>
                      <w:sz w:val="24"/>
                      <w:szCs w:val="24"/>
                      <w:lang w:val="en-US"/>
                    </w:rPr>
                  </w:pPr>
                </w:p>
              </w:tc>
              <w:tc>
                <w:tcPr>
                  <w:tcW w:w="1710" w:type="dxa"/>
                  <w:vMerge/>
                  <w:shd w:val="clear" w:color="auto" w:fill="auto"/>
                  <w:noWrap/>
                  <w:vAlign w:val="bottom"/>
                </w:tcPr>
                <w:p w:rsidR="00DE00E8" w:rsidRPr="005F1FAF" w:rsidRDefault="00DE00E8" w:rsidP="00B0425D">
                  <w:pPr>
                    <w:jc w:val="right"/>
                    <w:rPr>
                      <w:sz w:val="24"/>
                      <w:szCs w:val="24"/>
                      <w:lang w:val="en-US"/>
                    </w:rPr>
                  </w:pPr>
                </w:p>
              </w:tc>
            </w:tr>
            <w:tr w:rsidR="00DE00E8" w:rsidRPr="005F1FAF" w:rsidTr="0030115B">
              <w:trPr>
                <w:trHeight w:val="315"/>
                <w:jc w:val="center"/>
              </w:trPr>
              <w:tc>
                <w:tcPr>
                  <w:tcW w:w="600" w:type="dxa"/>
                  <w:vMerge w:val="restart"/>
                  <w:shd w:val="clear" w:color="000000" w:fill="FFFFFF"/>
                  <w:vAlign w:val="center"/>
                </w:tcPr>
                <w:p w:rsidR="00DE00E8" w:rsidRPr="005F1FAF" w:rsidRDefault="00DE00E8" w:rsidP="00B0425D">
                  <w:pPr>
                    <w:jc w:val="center"/>
                    <w:rPr>
                      <w:sz w:val="24"/>
                      <w:szCs w:val="24"/>
                      <w:lang w:val="en-US"/>
                    </w:rPr>
                  </w:pPr>
                  <w:r w:rsidRPr="005F1FAF">
                    <w:rPr>
                      <w:sz w:val="24"/>
                      <w:szCs w:val="24"/>
                      <w:lang w:val="en-US"/>
                    </w:rPr>
                    <w:t>43</w:t>
                  </w:r>
                </w:p>
              </w:tc>
              <w:tc>
                <w:tcPr>
                  <w:tcW w:w="1350" w:type="dxa"/>
                  <w:shd w:val="clear" w:color="000000" w:fill="FFFFFF"/>
                  <w:vAlign w:val="center"/>
                </w:tcPr>
                <w:p w:rsidR="00DE00E8" w:rsidRPr="005F1FAF" w:rsidRDefault="00DE00E8" w:rsidP="00B0425D">
                  <w:pPr>
                    <w:jc w:val="center"/>
                    <w:rPr>
                      <w:sz w:val="24"/>
                      <w:szCs w:val="24"/>
                      <w:lang w:val="en-US"/>
                    </w:rPr>
                  </w:pPr>
                  <w:r w:rsidRPr="005F1FAF">
                    <w:rPr>
                      <w:sz w:val="24"/>
                      <w:szCs w:val="24"/>
                      <w:lang w:val="en-US"/>
                    </w:rPr>
                    <w:t>211</w:t>
                  </w:r>
                </w:p>
              </w:tc>
              <w:tc>
                <w:tcPr>
                  <w:tcW w:w="1590" w:type="dxa"/>
                  <w:shd w:val="clear" w:color="000000" w:fill="FFFFFF"/>
                  <w:vAlign w:val="center"/>
                </w:tcPr>
                <w:p w:rsidR="00DE00E8" w:rsidRPr="005F1FAF" w:rsidRDefault="00DE00E8" w:rsidP="00B0425D">
                  <w:pPr>
                    <w:jc w:val="center"/>
                    <w:rPr>
                      <w:sz w:val="24"/>
                      <w:szCs w:val="24"/>
                      <w:lang w:val="en-US"/>
                    </w:rPr>
                  </w:pPr>
                  <w:r w:rsidRPr="005F1FAF">
                    <w:rPr>
                      <w:sz w:val="24"/>
                      <w:szCs w:val="24"/>
                      <w:lang w:val="en-US"/>
                    </w:rPr>
                    <w:t>733,37</w:t>
                  </w:r>
                </w:p>
              </w:tc>
              <w:tc>
                <w:tcPr>
                  <w:tcW w:w="2280" w:type="dxa"/>
                  <w:vMerge w:val="restart"/>
                  <w:shd w:val="clear" w:color="000000" w:fill="FFFFFF"/>
                  <w:vAlign w:val="center"/>
                </w:tcPr>
                <w:p w:rsidR="00DE00E8" w:rsidRPr="005F1FAF" w:rsidRDefault="00DE00E8" w:rsidP="00B0425D">
                  <w:pPr>
                    <w:jc w:val="center"/>
                    <w:rPr>
                      <w:sz w:val="24"/>
                      <w:szCs w:val="24"/>
                      <w:lang w:val="en-US"/>
                    </w:rPr>
                  </w:pPr>
                  <w:r w:rsidRPr="005F1FAF">
                    <w:rPr>
                      <w:sz w:val="24"/>
                      <w:szCs w:val="24"/>
                      <w:lang w:val="en-US"/>
                    </w:rPr>
                    <w:t>3.134,97</w:t>
                  </w:r>
                </w:p>
              </w:tc>
              <w:tc>
                <w:tcPr>
                  <w:tcW w:w="1710" w:type="dxa"/>
                  <w:vMerge w:val="restart"/>
                  <w:shd w:val="clear" w:color="auto" w:fill="auto"/>
                  <w:noWrap/>
                  <w:vAlign w:val="center"/>
                </w:tcPr>
                <w:p w:rsidR="00DE00E8" w:rsidRPr="005F1FAF" w:rsidRDefault="00DE00E8" w:rsidP="00B0425D">
                  <w:pPr>
                    <w:jc w:val="right"/>
                    <w:rPr>
                      <w:sz w:val="24"/>
                      <w:szCs w:val="24"/>
                      <w:lang w:val="en-US"/>
                    </w:rPr>
                  </w:pPr>
                  <w:r w:rsidRPr="005F1FAF">
                    <w:rPr>
                      <w:sz w:val="24"/>
                      <w:szCs w:val="24"/>
                      <w:lang w:val="en-US"/>
                    </w:rPr>
                    <w:t>-156,06</w:t>
                  </w:r>
                </w:p>
              </w:tc>
            </w:tr>
            <w:tr w:rsidR="00DE00E8" w:rsidRPr="005F1FAF" w:rsidTr="0030115B">
              <w:trPr>
                <w:trHeight w:val="315"/>
                <w:jc w:val="center"/>
              </w:trPr>
              <w:tc>
                <w:tcPr>
                  <w:tcW w:w="600" w:type="dxa"/>
                  <w:vMerge/>
                  <w:shd w:val="clear" w:color="000000" w:fill="FFFFFF"/>
                </w:tcPr>
                <w:p w:rsidR="00DE00E8" w:rsidRPr="005F1FAF" w:rsidRDefault="00DE00E8" w:rsidP="00B0425D">
                  <w:pPr>
                    <w:jc w:val="center"/>
                    <w:rPr>
                      <w:sz w:val="24"/>
                      <w:szCs w:val="24"/>
                      <w:lang w:val="en-US"/>
                    </w:rPr>
                  </w:pPr>
                </w:p>
              </w:tc>
              <w:tc>
                <w:tcPr>
                  <w:tcW w:w="1350" w:type="dxa"/>
                  <w:shd w:val="clear" w:color="000000" w:fill="FFFFFF"/>
                  <w:vAlign w:val="center"/>
                </w:tcPr>
                <w:p w:rsidR="00DE00E8" w:rsidRPr="005F1FAF" w:rsidRDefault="00DE00E8" w:rsidP="00B0425D">
                  <w:pPr>
                    <w:jc w:val="center"/>
                    <w:rPr>
                      <w:sz w:val="24"/>
                      <w:szCs w:val="24"/>
                      <w:lang w:val="en-US"/>
                    </w:rPr>
                  </w:pPr>
                  <w:r w:rsidRPr="005F1FAF">
                    <w:rPr>
                      <w:sz w:val="24"/>
                      <w:szCs w:val="24"/>
                      <w:lang w:val="en-US"/>
                    </w:rPr>
                    <w:t>212</w:t>
                  </w:r>
                </w:p>
              </w:tc>
              <w:tc>
                <w:tcPr>
                  <w:tcW w:w="1590" w:type="dxa"/>
                  <w:shd w:val="clear" w:color="000000" w:fill="FFFFFF"/>
                  <w:vAlign w:val="center"/>
                </w:tcPr>
                <w:p w:rsidR="00DE00E8" w:rsidRPr="005F1FAF" w:rsidRDefault="00DE00E8" w:rsidP="00B0425D">
                  <w:pPr>
                    <w:jc w:val="center"/>
                    <w:rPr>
                      <w:sz w:val="24"/>
                      <w:szCs w:val="24"/>
                      <w:lang w:val="en-US"/>
                    </w:rPr>
                  </w:pPr>
                  <w:r w:rsidRPr="005F1FAF">
                    <w:rPr>
                      <w:sz w:val="24"/>
                      <w:szCs w:val="24"/>
                      <w:lang w:val="en-US"/>
                    </w:rPr>
                    <w:t>2.245,54</w:t>
                  </w:r>
                </w:p>
              </w:tc>
              <w:tc>
                <w:tcPr>
                  <w:tcW w:w="2280" w:type="dxa"/>
                  <w:vMerge/>
                  <w:shd w:val="clear" w:color="000000" w:fill="FFFFFF"/>
                  <w:vAlign w:val="center"/>
                </w:tcPr>
                <w:p w:rsidR="00DE00E8" w:rsidRPr="005F1FAF" w:rsidRDefault="00DE00E8" w:rsidP="00B0425D">
                  <w:pPr>
                    <w:jc w:val="center"/>
                    <w:rPr>
                      <w:sz w:val="24"/>
                      <w:szCs w:val="24"/>
                      <w:lang w:val="en-US"/>
                    </w:rPr>
                  </w:pPr>
                </w:p>
              </w:tc>
              <w:tc>
                <w:tcPr>
                  <w:tcW w:w="1710" w:type="dxa"/>
                  <w:vMerge/>
                  <w:shd w:val="clear" w:color="auto" w:fill="auto"/>
                  <w:noWrap/>
                  <w:vAlign w:val="bottom"/>
                </w:tcPr>
                <w:p w:rsidR="00DE00E8" w:rsidRPr="005F1FAF" w:rsidRDefault="00DE00E8" w:rsidP="00B0425D">
                  <w:pPr>
                    <w:jc w:val="right"/>
                    <w:rPr>
                      <w:sz w:val="24"/>
                      <w:szCs w:val="24"/>
                      <w:lang w:val="en-US"/>
                    </w:rPr>
                  </w:pPr>
                </w:p>
              </w:tc>
            </w:tr>
            <w:tr w:rsidR="00632702" w:rsidRPr="005F1FAF" w:rsidTr="0030115B">
              <w:trPr>
                <w:trHeight w:val="315"/>
                <w:jc w:val="center"/>
              </w:trPr>
              <w:tc>
                <w:tcPr>
                  <w:tcW w:w="600" w:type="dxa"/>
                  <w:shd w:val="clear" w:color="000000" w:fill="FFFFFF"/>
                </w:tcPr>
                <w:p w:rsidR="00632702" w:rsidRPr="005F1FAF" w:rsidRDefault="00DE00E8" w:rsidP="00B0425D">
                  <w:pPr>
                    <w:jc w:val="center"/>
                    <w:rPr>
                      <w:sz w:val="24"/>
                      <w:szCs w:val="24"/>
                      <w:lang w:val="en-US"/>
                    </w:rPr>
                  </w:pPr>
                  <w:r w:rsidRPr="005F1FAF">
                    <w:rPr>
                      <w:sz w:val="24"/>
                      <w:szCs w:val="24"/>
                      <w:lang w:val="en-US"/>
                    </w:rPr>
                    <w:t>44</w:t>
                  </w:r>
                </w:p>
              </w:tc>
              <w:tc>
                <w:tcPr>
                  <w:tcW w:w="1350" w:type="dxa"/>
                  <w:shd w:val="clear" w:color="000000" w:fill="FFFFFF"/>
                  <w:vAlign w:val="center"/>
                </w:tcPr>
                <w:p w:rsidR="00632702" w:rsidRPr="005F1FAF" w:rsidRDefault="00632702" w:rsidP="00B0425D">
                  <w:pPr>
                    <w:jc w:val="center"/>
                    <w:rPr>
                      <w:sz w:val="24"/>
                      <w:szCs w:val="24"/>
                      <w:lang w:val="en-US"/>
                    </w:rPr>
                  </w:pPr>
                  <w:r w:rsidRPr="005F1FAF">
                    <w:rPr>
                      <w:sz w:val="24"/>
                      <w:szCs w:val="24"/>
                      <w:lang w:val="en-US"/>
                    </w:rPr>
                    <w:t>223</w:t>
                  </w:r>
                </w:p>
              </w:tc>
              <w:tc>
                <w:tcPr>
                  <w:tcW w:w="1590" w:type="dxa"/>
                  <w:shd w:val="clear" w:color="auto" w:fill="auto"/>
                  <w:vAlign w:val="center"/>
                </w:tcPr>
                <w:p w:rsidR="00632702" w:rsidRPr="005F1FAF" w:rsidRDefault="00632702" w:rsidP="00B0425D">
                  <w:pPr>
                    <w:jc w:val="center"/>
                    <w:rPr>
                      <w:sz w:val="24"/>
                      <w:szCs w:val="24"/>
                      <w:lang w:val="en-US"/>
                    </w:rPr>
                  </w:pPr>
                  <w:r w:rsidRPr="005F1FAF">
                    <w:rPr>
                      <w:sz w:val="24"/>
                      <w:szCs w:val="24"/>
                      <w:lang w:val="en-US"/>
                    </w:rPr>
                    <w:t>10.029,60</w:t>
                  </w:r>
                </w:p>
              </w:tc>
              <w:tc>
                <w:tcPr>
                  <w:tcW w:w="2280" w:type="dxa"/>
                  <w:shd w:val="clear" w:color="auto" w:fill="auto"/>
                  <w:vAlign w:val="center"/>
                </w:tcPr>
                <w:p w:rsidR="00632702" w:rsidRPr="005F1FAF" w:rsidRDefault="00632702" w:rsidP="00B0425D">
                  <w:pPr>
                    <w:jc w:val="center"/>
                    <w:rPr>
                      <w:sz w:val="24"/>
                      <w:szCs w:val="24"/>
                      <w:lang w:val="en-US"/>
                    </w:rPr>
                  </w:pPr>
                  <w:r w:rsidRPr="005F1FAF">
                    <w:rPr>
                      <w:sz w:val="24"/>
                      <w:szCs w:val="24"/>
                      <w:lang w:val="en-US"/>
                    </w:rPr>
                    <w:t>10.402,00</w:t>
                  </w:r>
                </w:p>
              </w:tc>
              <w:tc>
                <w:tcPr>
                  <w:tcW w:w="1710" w:type="dxa"/>
                  <w:shd w:val="clear" w:color="auto" w:fill="auto"/>
                  <w:noWrap/>
                  <w:vAlign w:val="bottom"/>
                </w:tcPr>
                <w:p w:rsidR="00632702" w:rsidRPr="005F1FAF" w:rsidRDefault="00DE00E8" w:rsidP="00B0425D">
                  <w:pPr>
                    <w:jc w:val="right"/>
                    <w:rPr>
                      <w:sz w:val="24"/>
                      <w:szCs w:val="24"/>
                      <w:lang w:val="en-US"/>
                    </w:rPr>
                  </w:pPr>
                  <w:r w:rsidRPr="005F1FAF">
                    <w:rPr>
                      <w:sz w:val="24"/>
                      <w:szCs w:val="24"/>
                      <w:lang w:val="en-US"/>
                    </w:rPr>
                    <w:t>-</w:t>
                  </w:r>
                  <w:r w:rsidR="00632702" w:rsidRPr="005F1FAF">
                    <w:rPr>
                      <w:sz w:val="24"/>
                      <w:szCs w:val="24"/>
                      <w:lang w:val="en-US"/>
                    </w:rPr>
                    <w:t>372,40</w:t>
                  </w:r>
                </w:p>
              </w:tc>
            </w:tr>
            <w:tr w:rsidR="00632702" w:rsidRPr="005F1FAF" w:rsidTr="0030115B">
              <w:trPr>
                <w:trHeight w:val="315"/>
                <w:jc w:val="center"/>
              </w:trPr>
              <w:tc>
                <w:tcPr>
                  <w:tcW w:w="600" w:type="dxa"/>
                  <w:shd w:val="clear" w:color="000000" w:fill="FFFFFF"/>
                </w:tcPr>
                <w:p w:rsidR="00632702" w:rsidRPr="005F1FAF" w:rsidRDefault="00DE00E8" w:rsidP="00B0425D">
                  <w:pPr>
                    <w:jc w:val="center"/>
                    <w:rPr>
                      <w:sz w:val="24"/>
                      <w:szCs w:val="24"/>
                      <w:lang w:val="en-US"/>
                    </w:rPr>
                  </w:pPr>
                  <w:r w:rsidRPr="005F1FAF">
                    <w:rPr>
                      <w:sz w:val="24"/>
                      <w:szCs w:val="24"/>
                      <w:lang w:val="en-US"/>
                    </w:rPr>
                    <w:t>45</w:t>
                  </w:r>
                </w:p>
              </w:tc>
              <w:tc>
                <w:tcPr>
                  <w:tcW w:w="1350" w:type="dxa"/>
                  <w:shd w:val="clear" w:color="000000" w:fill="FFFFFF"/>
                  <w:vAlign w:val="center"/>
                </w:tcPr>
                <w:p w:rsidR="00632702" w:rsidRPr="005F1FAF" w:rsidRDefault="00632702" w:rsidP="00B0425D">
                  <w:pPr>
                    <w:jc w:val="center"/>
                    <w:rPr>
                      <w:sz w:val="24"/>
                      <w:szCs w:val="24"/>
                      <w:lang w:val="en-US"/>
                    </w:rPr>
                  </w:pPr>
                  <w:r w:rsidRPr="005F1FAF">
                    <w:rPr>
                      <w:sz w:val="24"/>
                      <w:szCs w:val="24"/>
                      <w:lang w:val="en-US"/>
                    </w:rPr>
                    <w:t>237</w:t>
                  </w:r>
                </w:p>
              </w:tc>
              <w:tc>
                <w:tcPr>
                  <w:tcW w:w="1590" w:type="dxa"/>
                  <w:shd w:val="clear" w:color="auto" w:fill="auto"/>
                  <w:vAlign w:val="center"/>
                </w:tcPr>
                <w:p w:rsidR="00632702" w:rsidRPr="005F1FAF" w:rsidRDefault="00632702" w:rsidP="00B0425D">
                  <w:pPr>
                    <w:jc w:val="center"/>
                    <w:rPr>
                      <w:sz w:val="24"/>
                      <w:szCs w:val="24"/>
                      <w:lang w:val="en-US"/>
                    </w:rPr>
                  </w:pPr>
                  <w:r w:rsidRPr="005F1FAF">
                    <w:rPr>
                      <w:sz w:val="24"/>
                      <w:szCs w:val="24"/>
                      <w:lang w:val="en-US"/>
                    </w:rPr>
                    <w:t>149,27</w:t>
                  </w:r>
                </w:p>
              </w:tc>
              <w:tc>
                <w:tcPr>
                  <w:tcW w:w="2280" w:type="dxa"/>
                  <w:shd w:val="clear" w:color="auto" w:fill="auto"/>
                  <w:vAlign w:val="center"/>
                </w:tcPr>
                <w:p w:rsidR="00632702" w:rsidRPr="005F1FAF" w:rsidRDefault="00632702" w:rsidP="00B0425D">
                  <w:pPr>
                    <w:jc w:val="center"/>
                    <w:rPr>
                      <w:sz w:val="24"/>
                      <w:szCs w:val="24"/>
                      <w:lang w:val="en-US"/>
                    </w:rPr>
                  </w:pPr>
                  <w:r w:rsidRPr="005F1FAF">
                    <w:rPr>
                      <w:sz w:val="24"/>
                      <w:szCs w:val="24"/>
                      <w:lang w:val="en-US"/>
                    </w:rPr>
                    <w:t>1.000,50</w:t>
                  </w:r>
                </w:p>
              </w:tc>
              <w:tc>
                <w:tcPr>
                  <w:tcW w:w="1710" w:type="dxa"/>
                  <w:shd w:val="clear" w:color="auto" w:fill="auto"/>
                  <w:noWrap/>
                  <w:vAlign w:val="bottom"/>
                </w:tcPr>
                <w:p w:rsidR="00632702" w:rsidRPr="005F1FAF" w:rsidRDefault="00DE00E8" w:rsidP="00B0425D">
                  <w:pPr>
                    <w:jc w:val="right"/>
                    <w:rPr>
                      <w:sz w:val="24"/>
                      <w:szCs w:val="24"/>
                      <w:lang w:val="en-US"/>
                    </w:rPr>
                  </w:pPr>
                  <w:r w:rsidRPr="005F1FAF">
                    <w:rPr>
                      <w:sz w:val="24"/>
                      <w:szCs w:val="24"/>
                      <w:lang w:val="en-US"/>
                    </w:rPr>
                    <w:t>-</w:t>
                  </w:r>
                  <w:r w:rsidR="00632702" w:rsidRPr="005F1FAF">
                    <w:rPr>
                      <w:sz w:val="24"/>
                      <w:szCs w:val="24"/>
                      <w:lang w:val="en-US"/>
                    </w:rPr>
                    <w:t>851,23</w:t>
                  </w:r>
                </w:p>
              </w:tc>
            </w:tr>
            <w:tr w:rsidR="00632702" w:rsidRPr="005F1FAF" w:rsidTr="005A6D6A">
              <w:trPr>
                <w:trHeight w:val="300"/>
                <w:jc w:val="center"/>
              </w:trPr>
              <w:tc>
                <w:tcPr>
                  <w:tcW w:w="600" w:type="dxa"/>
                  <w:shd w:val="clear" w:color="000000" w:fill="FFFFFF"/>
                </w:tcPr>
                <w:p w:rsidR="00632702" w:rsidRPr="005F1FAF" w:rsidRDefault="00632702" w:rsidP="00B0425D">
                  <w:pPr>
                    <w:jc w:val="center"/>
                    <w:rPr>
                      <w:sz w:val="24"/>
                      <w:szCs w:val="24"/>
                      <w:lang w:val="en-US"/>
                    </w:rPr>
                  </w:pPr>
                </w:p>
              </w:tc>
              <w:tc>
                <w:tcPr>
                  <w:tcW w:w="1350" w:type="dxa"/>
                  <w:shd w:val="clear" w:color="000000" w:fill="FFFFFF"/>
                  <w:vAlign w:val="center"/>
                </w:tcPr>
                <w:p w:rsidR="00632702" w:rsidRPr="005F1FAF" w:rsidRDefault="00632702" w:rsidP="00B0425D">
                  <w:pPr>
                    <w:jc w:val="center"/>
                    <w:rPr>
                      <w:sz w:val="24"/>
                      <w:szCs w:val="24"/>
                      <w:lang w:val="en-US"/>
                    </w:rPr>
                  </w:pPr>
                  <w:r w:rsidRPr="005F1FAF">
                    <w:rPr>
                      <w:sz w:val="24"/>
                      <w:szCs w:val="24"/>
                      <w:lang w:val="en-US"/>
                    </w:rPr>
                    <w:t>Total</w:t>
                  </w:r>
                </w:p>
              </w:tc>
              <w:tc>
                <w:tcPr>
                  <w:tcW w:w="1590" w:type="dxa"/>
                  <w:shd w:val="clear" w:color="000000" w:fill="FFFFFF"/>
                  <w:vAlign w:val="center"/>
                </w:tcPr>
                <w:p w:rsidR="003117DD" w:rsidRPr="005F1FAF" w:rsidRDefault="005A6D6A" w:rsidP="00B0425D">
                  <w:pPr>
                    <w:jc w:val="center"/>
                    <w:rPr>
                      <w:sz w:val="24"/>
                      <w:szCs w:val="24"/>
                      <w:lang w:val="en-US"/>
                    </w:rPr>
                  </w:pPr>
                  <w:r w:rsidRPr="005F1FAF">
                    <w:rPr>
                      <w:sz w:val="24"/>
                      <w:szCs w:val="24"/>
                      <w:lang w:val="en-US"/>
                    </w:rPr>
                    <w:t>5.613.274,71</w:t>
                  </w:r>
                </w:p>
              </w:tc>
              <w:tc>
                <w:tcPr>
                  <w:tcW w:w="2280" w:type="dxa"/>
                  <w:shd w:val="clear" w:color="000000" w:fill="FFFFFF"/>
                  <w:vAlign w:val="center"/>
                </w:tcPr>
                <w:p w:rsidR="00632702" w:rsidRPr="005F1FAF" w:rsidRDefault="005A6D6A" w:rsidP="00B0425D">
                  <w:pPr>
                    <w:jc w:val="center"/>
                    <w:rPr>
                      <w:sz w:val="24"/>
                      <w:szCs w:val="24"/>
                      <w:lang w:val="en-US"/>
                    </w:rPr>
                  </w:pPr>
                  <w:r w:rsidRPr="005F1FAF">
                    <w:rPr>
                      <w:sz w:val="24"/>
                      <w:szCs w:val="24"/>
                      <w:lang w:val="en-US"/>
                    </w:rPr>
                    <w:t>6.414.114,35</w:t>
                  </w:r>
                </w:p>
              </w:tc>
              <w:tc>
                <w:tcPr>
                  <w:tcW w:w="1710" w:type="dxa"/>
                  <w:shd w:val="clear" w:color="auto" w:fill="auto"/>
                  <w:noWrap/>
                  <w:vAlign w:val="center"/>
                </w:tcPr>
                <w:p w:rsidR="0075311E" w:rsidRPr="005F1FAF" w:rsidRDefault="005A6D6A" w:rsidP="00B0425D">
                  <w:pPr>
                    <w:jc w:val="right"/>
                    <w:rPr>
                      <w:sz w:val="24"/>
                      <w:szCs w:val="24"/>
                      <w:lang w:val="en-US"/>
                    </w:rPr>
                  </w:pPr>
                  <w:r w:rsidRPr="005F1FAF">
                    <w:rPr>
                      <w:sz w:val="24"/>
                      <w:szCs w:val="24"/>
                      <w:lang w:val="en-US"/>
                    </w:rPr>
                    <w:t>-800.839,64</w:t>
                  </w:r>
                </w:p>
              </w:tc>
            </w:tr>
          </w:tbl>
          <w:p w:rsidR="00284708" w:rsidRPr="005F1FAF" w:rsidRDefault="00284708" w:rsidP="00B0425D">
            <w:pPr>
              <w:jc w:val="both"/>
              <w:rPr>
                <w:sz w:val="16"/>
                <w:szCs w:val="16"/>
              </w:rPr>
            </w:pPr>
          </w:p>
          <w:p w:rsidR="0070630A" w:rsidRPr="005F1FAF" w:rsidRDefault="0070630A" w:rsidP="00B0425D">
            <w:pPr>
              <w:shd w:val="clear" w:color="auto" w:fill="FFFFFF"/>
              <w:jc w:val="both"/>
              <w:rPr>
                <w:sz w:val="24"/>
                <w:szCs w:val="24"/>
              </w:rPr>
            </w:pPr>
            <w:r w:rsidRPr="005F1FAF">
              <w:rPr>
                <w:sz w:val="24"/>
                <w:szCs w:val="24"/>
              </w:rPr>
              <w:t>Suma necesară suplimentării Hotărârii Guvernului nr. 499/2010</w:t>
            </w:r>
            <w:r w:rsidR="00BD743F" w:rsidRPr="005F1FAF">
              <w:rPr>
                <w:sz w:val="24"/>
                <w:szCs w:val="24"/>
              </w:rPr>
              <w:t>,</w:t>
            </w:r>
            <w:r w:rsidRPr="005F1FAF">
              <w:rPr>
                <w:sz w:val="24"/>
                <w:szCs w:val="24"/>
              </w:rPr>
              <w:t xml:space="preserve"> cu modificările și completările ulterioare</w:t>
            </w:r>
            <w:r w:rsidR="00BD743F" w:rsidRPr="005F1FAF">
              <w:rPr>
                <w:sz w:val="24"/>
                <w:szCs w:val="24"/>
              </w:rPr>
              <w:t>,</w:t>
            </w:r>
            <w:r w:rsidRPr="005F1FAF">
              <w:rPr>
                <w:sz w:val="24"/>
                <w:szCs w:val="24"/>
              </w:rPr>
              <w:t xml:space="preserve"> rezultată în urma întocmirii raportului de evaluare pentru cele </w:t>
            </w:r>
            <w:r w:rsidR="00707411" w:rsidRPr="005F1FAF">
              <w:rPr>
                <w:sz w:val="24"/>
                <w:szCs w:val="24"/>
              </w:rPr>
              <w:t>39</w:t>
            </w:r>
            <w:r w:rsidRPr="005F1FAF">
              <w:rPr>
                <w:sz w:val="24"/>
                <w:szCs w:val="24"/>
              </w:rPr>
              <w:t xml:space="preserve"> de imobile </w:t>
            </w:r>
            <w:proofErr w:type="spellStart"/>
            <w:r w:rsidRPr="005F1FAF">
              <w:rPr>
                <w:sz w:val="24"/>
                <w:szCs w:val="24"/>
              </w:rPr>
              <w:t>antemenționate</w:t>
            </w:r>
            <w:proofErr w:type="spellEnd"/>
            <w:r w:rsidRPr="005F1FAF">
              <w:rPr>
                <w:sz w:val="24"/>
                <w:szCs w:val="24"/>
              </w:rPr>
              <w:t xml:space="preserve">, în conformitate cu prevederile art. 11 alin. (7) din Legea nr. 255/2010, cu modificările și completările ulterioare, potrivit căruia, ,,Înainte de data începerii </w:t>
            </w:r>
            <w:proofErr w:type="spellStart"/>
            <w:r w:rsidRPr="005F1FAF">
              <w:rPr>
                <w:sz w:val="24"/>
                <w:szCs w:val="24"/>
              </w:rPr>
              <w:t>activităţii</w:t>
            </w:r>
            <w:proofErr w:type="spellEnd"/>
            <w:r w:rsidRPr="005F1FAF">
              <w:rPr>
                <w:sz w:val="24"/>
                <w:szCs w:val="24"/>
              </w:rPr>
              <w:t xml:space="preserve"> comisiei prevăzute la art. 18, un expert evaluator specializat în evaluarea </w:t>
            </w:r>
            <w:proofErr w:type="spellStart"/>
            <w:r w:rsidRPr="005F1FAF">
              <w:rPr>
                <w:sz w:val="24"/>
                <w:szCs w:val="24"/>
              </w:rPr>
              <w:t>proprietăţilor</w:t>
            </w:r>
            <w:proofErr w:type="spellEnd"/>
            <w:r w:rsidRPr="005F1FAF">
              <w:rPr>
                <w:sz w:val="24"/>
                <w:szCs w:val="24"/>
              </w:rPr>
              <w:t xml:space="preserve"> imobiliare, membru al </w:t>
            </w:r>
            <w:proofErr w:type="spellStart"/>
            <w:r w:rsidRPr="005F1FAF">
              <w:rPr>
                <w:sz w:val="24"/>
                <w:szCs w:val="24"/>
              </w:rPr>
              <w:t>Asociaţiei</w:t>
            </w:r>
            <w:proofErr w:type="spellEnd"/>
            <w:r w:rsidRPr="005F1FAF">
              <w:rPr>
                <w:sz w:val="24"/>
                <w:szCs w:val="24"/>
              </w:rPr>
              <w:t xml:space="preserve"> </w:t>
            </w:r>
            <w:proofErr w:type="spellStart"/>
            <w:r w:rsidRPr="005F1FAF">
              <w:rPr>
                <w:sz w:val="24"/>
                <w:szCs w:val="24"/>
              </w:rPr>
              <w:t>Naţionale</w:t>
            </w:r>
            <w:proofErr w:type="spellEnd"/>
            <w:r w:rsidRPr="005F1FAF">
              <w:rPr>
                <w:sz w:val="24"/>
                <w:szCs w:val="24"/>
              </w:rPr>
              <w:t xml:space="preserve"> a Evaluatorilor din România - ANEVAR, va întocmi un raport de evaluare a imobilelor expropriate pentru fiecare unitate administrativ-teritorială, pe fiecare categorie de </w:t>
            </w:r>
            <w:proofErr w:type="spellStart"/>
            <w:r w:rsidRPr="005F1FAF">
              <w:rPr>
                <w:sz w:val="24"/>
                <w:szCs w:val="24"/>
              </w:rPr>
              <w:t>folosinţă</w:t>
            </w:r>
            <w:proofErr w:type="spellEnd"/>
            <w:r w:rsidRPr="005F1FAF">
              <w:rPr>
                <w:sz w:val="24"/>
                <w:szCs w:val="24"/>
              </w:rPr>
              <w:t xml:space="preserve">” și art. 8 alin. (1), alin. (2) </w:t>
            </w:r>
            <w:proofErr w:type="spellStart"/>
            <w:r w:rsidRPr="005F1FAF">
              <w:rPr>
                <w:sz w:val="24"/>
                <w:szCs w:val="24"/>
              </w:rPr>
              <w:t>şi</w:t>
            </w:r>
            <w:proofErr w:type="spellEnd"/>
            <w:r w:rsidRPr="005F1FAF">
              <w:rPr>
                <w:sz w:val="24"/>
                <w:szCs w:val="24"/>
              </w:rPr>
              <w:t xml:space="preserve"> alin. (3) din Hotărârea Guvernului nr. 53/2011, rezultă din</w:t>
            </w:r>
            <w:r w:rsidR="00DB60CE" w:rsidRPr="005F1FAF">
              <w:rPr>
                <w:sz w:val="24"/>
                <w:szCs w:val="24"/>
              </w:rPr>
              <w:t>,</w:t>
            </w:r>
            <w:r w:rsidRPr="005F1FAF">
              <w:rPr>
                <w:sz w:val="24"/>
                <w:szCs w:val="24"/>
              </w:rPr>
              <w:t xml:space="preserve"> diferența dintre valoarea de </w:t>
            </w:r>
            <w:r w:rsidR="00707411" w:rsidRPr="005F1FAF">
              <w:rPr>
                <w:b/>
                <w:bCs/>
                <w:sz w:val="24"/>
                <w:szCs w:val="24"/>
                <w:lang w:val="en-US"/>
              </w:rPr>
              <w:t xml:space="preserve">5.613.274,71 </w:t>
            </w:r>
            <w:r w:rsidRPr="005F1FAF">
              <w:rPr>
                <w:b/>
                <w:sz w:val="24"/>
                <w:szCs w:val="24"/>
              </w:rPr>
              <w:t xml:space="preserve">lei </w:t>
            </w:r>
            <w:r w:rsidRPr="005F1FAF">
              <w:rPr>
                <w:sz w:val="24"/>
                <w:szCs w:val="24"/>
              </w:rPr>
              <w:t xml:space="preserve">consemnată inițial și valoarea de </w:t>
            </w:r>
            <w:r w:rsidR="00707411" w:rsidRPr="005F1FAF">
              <w:rPr>
                <w:b/>
                <w:sz w:val="24"/>
                <w:szCs w:val="24"/>
                <w:lang w:val="en-US"/>
              </w:rPr>
              <w:t xml:space="preserve">6.414.114,35 </w:t>
            </w:r>
            <w:r w:rsidR="00707411" w:rsidRPr="005F1FAF">
              <w:rPr>
                <w:b/>
                <w:sz w:val="24"/>
                <w:szCs w:val="24"/>
              </w:rPr>
              <w:t>lei</w:t>
            </w:r>
            <w:r w:rsidR="00BD743F" w:rsidRPr="005F1FAF">
              <w:rPr>
                <w:b/>
                <w:sz w:val="24"/>
                <w:szCs w:val="24"/>
              </w:rPr>
              <w:t>,</w:t>
            </w:r>
            <w:r w:rsidR="00707411" w:rsidRPr="005F1FAF">
              <w:rPr>
                <w:b/>
                <w:sz w:val="24"/>
                <w:szCs w:val="24"/>
              </w:rPr>
              <w:t xml:space="preserve"> </w:t>
            </w:r>
            <w:r w:rsidRPr="005F1FAF">
              <w:rPr>
                <w:sz w:val="24"/>
                <w:szCs w:val="24"/>
              </w:rPr>
              <w:t>rezultată co</w:t>
            </w:r>
            <w:r w:rsidR="00CC3C14" w:rsidRPr="005F1FAF">
              <w:rPr>
                <w:sz w:val="24"/>
                <w:szCs w:val="24"/>
              </w:rPr>
              <w:t xml:space="preserve">nform noului raport de evaluare, respectiv valoarea de </w:t>
            </w:r>
            <w:r w:rsidR="00707411" w:rsidRPr="005F1FAF">
              <w:rPr>
                <w:b/>
                <w:sz w:val="24"/>
                <w:szCs w:val="24"/>
                <w:lang w:val="en-US"/>
              </w:rPr>
              <w:t>800.839,64</w:t>
            </w:r>
            <w:r w:rsidR="00DB60CE" w:rsidRPr="005F1FAF">
              <w:rPr>
                <w:color w:val="000000"/>
                <w:sz w:val="24"/>
                <w:szCs w:val="24"/>
              </w:rPr>
              <w:t xml:space="preserve"> </w:t>
            </w:r>
            <w:r w:rsidR="00707411" w:rsidRPr="005F1FAF">
              <w:rPr>
                <w:b/>
                <w:sz w:val="24"/>
                <w:szCs w:val="24"/>
              </w:rPr>
              <w:t>lei</w:t>
            </w:r>
            <w:r w:rsidRPr="005F1FAF">
              <w:rPr>
                <w:sz w:val="24"/>
                <w:szCs w:val="24"/>
              </w:rPr>
              <w:t>, astfel, suma estimată aferentă despăgubirilor aprobată prin Hotărârea Guvernului nr. 499/2010</w:t>
            </w:r>
            <w:r w:rsidR="00BD743F" w:rsidRPr="005F1FAF">
              <w:rPr>
                <w:sz w:val="24"/>
                <w:szCs w:val="24"/>
              </w:rPr>
              <w:t>,</w:t>
            </w:r>
            <w:r w:rsidRPr="005F1FAF">
              <w:rPr>
                <w:sz w:val="24"/>
                <w:szCs w:val="24"/>
              </w:rPr>
              <w:t xml:space="preserve"> cu modificările și completările ulterioare, necesar a fi suplimentată este de</w:t>
            </w:r>
            <w:r w:rsidR="00DB60CE" w:rsidRPr="005F1FAF">
              <w:rPr>
                <w:sz w:val="24"/>
                <w:szCs w:val="24"/>
              </w:rPr>
              <w:t xml:space="preserve"> </w:t>
            </w:r>
            <w:r w:rsidR="00707411" w:rsidRPr="005F1FAF">
              <w:rPr>
                <w:b/>
                <w:sz w:val="24"/>
                <w:szCs w:val="24"/>
                <w:lang w:val="en-US"/>
              </w:rPr>
              <w:t>800.839,64</w:t>
            </w:r>
            <w:r w:rsidRPr="005F1FAF">
              <w:rPr>
                <w:color w:val="000000"/>
                <w:sz w:val="24"/>
                <w:szCs w:val="24"/>
              </w:rPr>
              <w:t xml:space="preserve"> </w:t>
            </w:r>
            <w:r w:rsidR="00707411" w:rsidRPr="005F1FAF">
              <w:rPr>
                <w:b/>
                <w:sz w:val="24"/>
                <w:szCs w:val="24"/>
              </w:rPr>
              <w:t>lei</w:t>
            </w:r>
            <w:r w:rsidR="00CC3C14" w:rsidRPr="005F1FAF">
              <w:rPr>
                <w:sz w:val="24"/>
                <w:szCs w:val="24"/>
              </w:rPr>
              <w:t>.</w:t>
            </w:r>
            <w:r w:rsidRPr="005F1FAF">
              <w:rPr>
                <w:sz w:val="24"/>
                <w:szCs w:val="24"/>
              </w:rPr>
              <w:t xml:space="preserve"> </w:t>
            </w:r>
          </w:p>
          <w:p w:rsidR="00CC3C14" w:rsidRPr="005F1FAF" w:rsidRDefault="00CC3C14" w:rsidP="00B0425D">
            <w:pPr>
              <w:shd w:val="clear" w:color="auto" w:fill="FFFFFF"/>
              <w:jc w:val="both"/>
              <w:rPr>
                <w:sz w:val="16"/>
                <w:szCs w:val="16"/>
              </w:rPr>
            </w:pPr>
          </w:p>
          <w:p w:rsidR="00D9337D" w:rsidRPr="005F1FAF" w:rsidRDefault="00D9337D" w:rsidP="00B0425D">
            <w:pPr>
              <w:pStyle w:val="ListParagraph"/>
              <w:numPr>
                <w:ilvl w:val="0"/>
                <w:numId w:val="14"/>
              </w:numPr>
              <w:ind w:left="0" w:firstLine="0"/>
              <w:jc w:val="both"/>
            </w:pPr>
            <w:proofErr w:type="spellStart"/>
            <w:r w:rsidRPr="005F1FAF">
              <w:t>Totodată</w:t>
            </w:r>
            <w:proofErr w:type="spellEnd"/>
            <w:r w:rsidRPr="005F1FAF">
              <w:t xml:space="preserve">, </w:t>
            </w:r>
            <w:proofErr w:type="spellStart"/>
            <w:r w:rsidRPr="005F1FAF">
              <w:t>pentru</w:t>
            </w:r>
            <w:proofErr w:type="spellEnd"/>
            <w:r w:rsidRPr="005F1FAF">
              <w:t xml:space="preserve"> o parte </w:t>
            </w:r>
            <w:proofErr w:type="spellStart"/>
            <w:r w:rsidRPr="005F1FAF">
              <w:t>dintre</w:t>
            </w:r>
            <w:proofErr w:type="spellEnd"/>
            <w:r w:rsidRPr="005F1FAF">
              <w:t xml:space="preserve"> </w:t>
            </w:r>
            <w:proofErr w:type="spellStart"/>
            <w:r w:rsidRPr="005F1FAF">
              <w:t>pozițiile</w:t>
            </w:r>
            <w:proofErr w:type="spellEnd"/>
            <w:r w:rsidRPr="005F1FAF">
              <w:t xml:space="preserve"> din </w:t>
            </w:r>
            <w:proofErr w:type="spellStart"/>
            <w:r w:rsidRPr="005F1FAF">
              <w:t>anexa</w:t>
            </w:r>
            <w:proofErr w:type="spellEnd"/>
            <w:r w:rsidRPr="005F1FAF">
              <w:t xml:space="preserve"> </w:t>
            </w:r>
            <w:proofErr w:type="spellStart"/>
            <w:r w:rsidRPr="005F1FAF">
              <w:t>nr</w:t>
            </w:r>
            <w:proofErr w:type="spellEnd"/>
            <w:r w:rsidRPr="005F1FAF">
              <w:t xml:space="preserve">. </w:t>
            </w:r>
            <w:proofErr w:type="gramStart"/>
            <w:r w:rsidRPr="005F1FAF">
              <w:t>2</w:t>
            </w:r>
            <w:proofErr w:type="gramEnd"/>
            <w:r w:rsidRPr="005F1FAF">
              <w:t xml:space="preserve"> la </w:t>
            </w:r>
            <w:proofErr w:type="spellStart"/>
            <w:r w:rsidRPr="005F1FAF">
              <w:t>Hotărârea</w:t>
            </w:r>
            <w:proofErr w:type="spellEnd"/>
            <w:r w:rsidRPr="005F1FAF">
              <w:t xml:space="preserve"> </w:t>
            </w:r>
            <w:proofErr w:type="spellStart"/>
            <w:r w:rsidRPr="005F1FAF">
              <w:t>Guvernului</w:t>
            </w:r>
            <w:proofErr w:type="spellEnd"/>
            <w:r w:rsidRPr="005F1FAF">
              <w:t xml:space="preserve"> </w:t>
            </w:r>
            <w:proofErr w:type="spellStart"/>
            <w:r w:rsidRPr="005F1FAF">
              <w:t>nr</w:t>
            </w:r>
            <w:proofErr w:type="spellEnd"/>
            <w:r w:rsidRPr="005F1FAF">
              <w:t>. 499/2010</w:t>
            </w:r>
            <w:r w:rsidR="00BD743F" w:rsidRPr="005F1FAF">
              <w:t>,</w:t>
            </w:r>
            <w:r w:rsidRPr="005F1FAF">
              <w:t xml:space="preserve"> cu </w:t>
            </w:r>
            <w:proofErr w:type="spellStart"/>
            <w:r w:rsidRPr="005F1FAF">
              <w:t>modificările</w:t>
            </w:r>
            <w:proofErr w:type="spellEnd"/>
            <w:r w:rsidRPr="005F1FAF">
              <w:t xml:space="preserve"> </w:t>
            </w:r>
            <w:proofErr w:type="spellStart"/>
            <w:r w:rsidRPr="005F1FAF">
              <w:t>și</w:t>
            </w:r>
            <w:proofErr w:type="spellEnd"/>
            <w:r w:rsidRPr="005F1FAF">
              <w:t xml:space="preserve"> </w:t>
            </w:r>
            <w:proofErr w:type="spellStart"/>
            <w:r w:rsidRPr="005F1FAF">
              <w:t>completările</w:t>
            </w:r>
            <w:proofErr w:type="spellEnd"/>
            <w:r w:rsidRPr="005F1FAF">
              <w:t xml:space="preserve"> </w:t>
            </w:r>
            <w:proofErr w:type="spellStart"/>
            <w:r w:rsidRPr="005F1FAF">
              <w:t>ulterioare</w:t>
            </w:r>
            <w:proofErr w:type="spellEnd"/>
            <w:r w:rsidRPr="005F1FAF">
              <w:t xml:space="preserve">, </w:t>
            </w:r>
            <w:proofErr w:type="spellStart"/>
            <w:r w:rsidRPr="005F1FAF">
              <w:t>după</w:t>
            </w:r>
            <w:proofErr w:type="spellEnd"/>
            <w:r w:rsidRPr="005F1FAF">
              <w:t xml:space="preserve"> </w:t>
            </w:r>
            <w:proofErr w:type="spellStart"/>
            <w:r w:rsidRPr="005F1FAF">
              <w:t>întocmirea</w:t>
            </w:r>
            <w:proofErr w:type="spellEnd"/>
            <w:r w:rsidRPr="005F1FAF">
              <w:t xml:space="preserve"> </w:t>
            </w:r>
            <w:proofErr w:type="spellStart"/>
            <w:r w:rsidRPr="005F1FAF">
              <w:t>documentațiilor</w:t>
            </w:r>
            <w:proofErr w:type="spellEnd"/>
            <w:r w:rsidRPr="005F1FAF">
              <w:t xml:space="preserve"> </w:t>
            </w:r>
            <w:proofErr w:type="spellStart"/>
            <w:r w:rsidRPr="005F1FAF">
              <w:t>cadastrale</w:t>
            </w:r>
            <w:proofErr w:type="spellEnd"/>
            <w:r w:rsidRPr="005F1FAF">
              <w:t xml:space="preserve">, s-a  </w:t>
            </w:r>
            <w:proofErr w:type="spellStart"/>
            <w:r w:rsidRPr="005F1FAF">
              <w:t>constatat</w:t>
            </w:r>
            <w:proofErr w:type="spellEnd"/>
            <w:r w:rsidRPr="005F1FAF">
              <w:t xml:space="preserve"> </w:t>
            </w:r>
            <w:proofErr w:type="spellStart"/>
            <w:r w:rsidRPr="005F1FAF">
              <w:t>faptul</w:t>
            </w:r>
            <w:proofErr w:type="spellEnd"/>
            <w:r w:rsidRPr="005F1FAF">
              <w:t xml:space="preserve"> </w:t>
            </w:r>
            <w:proofErr w:type="spellStart"/>
            <w:r w:rsidRPr="005F1FAF">
              <w:t>că</w:t>
            </w:r>
            <w:proofErr w:type="spellEnd"/>
            <w:r w:rsidRPr="005F1FAF">
              <w:t xml:space="preserve">, o parte </w:t>
            </w:r>
            <w:proofErr w:type="spellStart"/>
            <w:r w:rsidRPr="005F1FAF">
              <w:t>dintre</w:t>
            </w:r>
            <w:proofErr w:type="spellEnd"/>
            <w:r w:rsidRPr="005F1FAF">
              <w:t xml:space="preserve"> </w:t>
            </w:r>
            <w:proofErr w:type="spellStart"/>
            <w:r w:rsidRPr="005F1FAF">
              <w:t>imobile</w:t>
            </w:r>
            <w:proofErr w:type="spellEnd"/>
            <w:r w:rsidRPr="005F1FAF">
              <w:t xml:space="preserve"> au </w:t>
            </w:r>
            <w:proofErr w:type="spellStart"/>
            <w:r w:rsidRPr="005F1FAF">
              <w:t>fost</w:t>
            </w:r>
            <w:proofErr w:type="spellEnd"/>
            <w:r w:rsidRPr="005F1FAF">
              <w:t xml:space="preserve"> </w:t>
            </w:r>
            <w:proofErr w:type="spellStart"/>
            <w:r w:rsidRPr="005F1FAF">
              <w:t>comasate</w:t>
            </w:r>
            <w:proofErr w:type="spellEnd"/>
            <w:r w:rsidRPr="005F1FAF">
              <w:t xml:space="preserve">, </w:t>
            </w:r>
            <w:proofErr w:type="spellStart"/>
            <w:r w:rsidRPr="005F1FAF">
              <w:t>respectiv</w:t>
            </w:r>
            <w:proofErr w:type="spellEnd"/>
            <w:r w:rsidRPr="005F1FAF">
              <w:t>:</w:t>
            </w:r>
          </w:p>
          <w:p w:rsidR="00D9337D" w:rsidRPr="005F1FAF" w:rsidRDefault="00D9337D" w:rsidP="00B0425D">
            <w:pPr>
              <w:jc w:val="both"/>
              <w:rPr>
                <w:sz w:val="16"/>
                <w:szCs w:val="16"/>
              </w:rPr>
            </w:pPr>
          </w:p>
          <w:p w:rsidR="00D9337D" w:rsidRPr="005F1FAF" w:rsidRDefault="00D9337D" w:rsidP="00B0425D">
            <w:pPr>
              <w:pStyle w:val="ListParagraph"/>
              <w:numPr>
                <w:ilvl w:val="0"/>
                <w:numId w:val="15"/>
              </w:numPr>
              <w:ind w:left="0" w:firstLine="0"/>
              <w:jc w:val="both"/>
            </w:pPr>
            <w:proofErr w:type="spellStart"/>
            <w:r w:rsidRPr="005F1FAF">
              <w:t>Poziția</w:t>
            </w:r>
            <w:proofErr w:type="spellEnd"/>
            <w:r w:rsidRPr="005F1FAF">
              <w:t xml:space="preserve"> </w:t>
            </w:r>
            <w:proofErr w:type="spellStart"/>
            <w:r w:rsidRPr="005F1FAF">
              <w:t>nr</w:t>
            </w:r>
            <w:proofErr w:type="spellEnd"/>
            <w:r w:rsidRPr="005F1FAF">
              <w:t xml:space="preserve">. </w:t>
            </w:r>
            <w:proofErr w:type="spellStart"/>
            <w:proofErr w:type="gramStart"/>
            <w:r w:rsidRPr="005F1FAF">
              <w:t>crt</w:t>
            </w:r>
            <w:proofErr w:type="spellEnd"/>
            <w:proofErr w:type="gramEnd"/>
            <w:r w:rsidRPr="005F1FAF">
              <w:t xml:space="preserve">. </w:t>
            </w:r>
            <w:proofErr w:type="gramStart"/>
            <w:r w:rsidRPr="005F1FAF">
              <w:t>48</w:t>
            </w:r>
            <w:proofErr w:type="gramEnd"/>
            <w:r w:rsidRPr="005F1FAF">
              <w:t xml:space="preserve"> s-a </w:t>
            </w:r>
            <w:proofErr w:type="spellStart"/>
            <w:r w:rsidRPr="005F1FAF">
              <w:t>comasat</w:t>
            </w:r>
            <w:proofErr w:type="spellEnd"/>
            <w:r w:rsidRPr="005F1FAF">
              <w:t xml:space="preserve"> cu </w:t>
            </w:r>
            <w:proofErr w:type="spellStart"/>
            <w:r w:rsidRPr="005F1FAF">
              <w:t>poziția</w:t>
            </w:r>
            <w:proofErr w:type="spellEnd"/>
            <w:r w:rsidRPr="005F1FAF">
              <w:t xml:space="preserve"> </w:t>
            </w:r>
            <w:proofErr w:type="spellStart"/>
            <w:r w:rsidRPr="005F1FAF">
              <w:t>nr</w:t>
            </w:r>
            <w:proofErr w:type="spellEnd"/>
            <w:r w:rsidRPr="005F1FAF">
              <w:t xml:space="preserve">. </w:t>
            </w:r>
            <w:proofErr w:type="spellStart"/>
            <w:proofErr w:type="gramStart"/>
            <w:r w:rsidRPr="005F1FAF">
              <w:t>crt</w:t>
            </w:r>
            <w:proofErr w:type="spellEnd"/>
            <w:proofErr w:type="gramEnd"/>
            <w:r w:rsidRPr="005F1FAF">
              <w:t>. 49;</w:t>
            </w:r>
          </w:p>
          <w:p w:rsidR="00D9337D" w:rsidRPr="005F1FAF" w:rsidRDefault="00D9337D" w:rsidP="00B0425D">
            <w:pPr>
              <w:pStyle w:val="ListParagraph"/>
              <w:numPr>
                <w:ilvl w:val="0"/>
                <w:numId w:val="15"/>
              </w:numPr>
              <w:ind w:left="0" w:firstLine="0"/>
              <w:jc w:val="both"/>
            </w:pPr>
            <w:proofErr w:type="spellStart"/>
            <w:r w:rsidRPr="005F1FAF">
              <w:t>Poziția</w:t>
            </w:r>
            <w:proofErr w:type="spellEnd"/>
            <w:r w:rsidRPr="005F1FAF">
              <w:t xml:space="preserve"> </w:t>
            </w:r>
            <w:proofErr w:type="spellStart"/>
            <w:r w:rsidRPr="005F1FAF">
              <w:t>nr</w:t>
            </w:r>
            <w:proofErr w:type="spellEnd"/>
            <w:r w:rsidRPr="005F1FAF">
              <w:t xml:space="preserve">. </w:t>
            </w:r>
            <w:proofErr w:type="spellStart"/>
            <w:proofErr w:type="gramStart"/>
            <w:r w:rsidRPr="005F1FAF">
              <w:t>crt</w:t>
            </w:r>
            <w:proofErr w:type="spellEnd"/>
            <w:proofErr w:type="gramEnd"/>
            <w:r w:rsidRPr="005F1FAF">
              <w:t xml:space="preserve">. </w:t>
            </w:r>
            <w:proofErr w:type="gramStart"/>
            <w:r w:rsidRPr="005F1FAF">
              <w:t>50</w:t>
            </w:r>
            <w:proofErr w:type="gramEnd"/>
            <w:r w:rsidRPr="005F1FAF">
              <w:t xml:space="preserve"> s-a </w:t>
            </w:r>
            <w:proofErr w:type="spellStart"/>
            <w:r w:rsidRPr="005F1FAF">
              <w:t>comasat</w:t>
            </w:r>
            <w:proofErr w:type="spellEnd"/>
            <w:r w:rsidRPr="005F1FAF">
              <w:t xml:space="preserve"> cu </w:t>
            </w:r>
            <w:proofErr w:type="spellStart"/>
            <w:r w:rsidRPr="005F1FAF">
              <w:t>poziția</w:t>
            </w:r>
            <w:proofErr w:type="spellEnd"/>
            <w:r w:rsidRPr="005F1FAF">
              <w:t xml:space="preserve"> </w:t>
            </w:r>
            <w:proofErr w:type="spellStart"/>
            <w:r w:rsidRPr="005F1FAF">
              <w:t>nr</w:t>
            </w:r>
            <w:proofErr w:type="spellEnd"/>
            <w:r w:rsidRPr="005F1FAF">
              <w:t xml:space="preserve">. </w:t>
            </w:r>
            <w:proofErr w:type="spellStart"/>
            <w:proofErr w:type="gramStart"/>
            <w:r w:rsidRPr="005F1FAF">
              <w:t>crt</w:t>
            </w:r>
            <w:proofErr w:type="spellEnd"/>
            <w:proofErr w:type="gramEnd"/>
            <w:r w:rsidRPr="005F1FAF">
              <w:t>. 51;</w:t>
            </w:r>
          </w:p>
          <w:p w:rsidR="00D9337D" w:rsidRPr="005F1FAF" w:rsidRDefault="00D9337D" w:rsidP="00B0425D">
            <w:pPr>
              <w:pStyle w:val="ListParagraph"/>
              <w:numPr>
                <w:ilvl w:val="0"/>
                <w:numId w:val="15"/>
              </w:numPr>
              <w:ind w:left="0" w:firstLine="0"/>
              <w:jc w:val="both"/>
            </w:pPr>
            <w:proofErr w:type="spellStart"/>
            <w:r w:rsidRPr="005F1FAF">
              <w:t>Poziția</w:t>
            </w:r>
            <w:proofErr w:type="spellEnd"/>
            <w:r w:rsidRPr="005F1FAF">
              <w:t xml:space="preserve"> </w:t>
            </w:r>
            <w:proofErr w:type="spellStart"/>
            <w:r w:rsidRPr="005F1FAF">
              <w:t>nr</w:t>
            </w:r>
            <w:proofErr w:type="spellEnd"/>
            <w:r w:rsidRPr="005F1FAF">
              <w:t xml:space="preserve">. </w:t>
            </w:r>
            <w:proofErr w:type="spellStart"/>
            <w:proofErr w:type="gramStart"/>
            <w:r w:rsidRPr="005F1FAF">
              <w:t>crt</w:t>
            </w:r>
            <w:proofErr w:type="spellEnd"/>
            <w:proofErr w:type="gramEnd"/>
            <w:r w:rsidRPr="005F1FAF">
              <w:t xml:space="preserve">. </w:t>
            </w:r>
            <w:proofErr w:type="gramStart"/>
            <w:r w:rsidRPr="005F1FAF">
              <w:t>56</w:t>
            </w:r>
            <w:proofErr w:type="gramEnd"/>
            <w:r w:rsidRPr="005F1FAF">
              <w:t xml:space="preserve"> s-a </w:t>
            </w:r>
            <w:proofErr w:type="spellStart"/>
            <w:r w:rsidRPr="005F1FAF">
              <w:t>comasat</w:t>
            </w:r>
            <w:proofErr w:type="spellEnd"/>
            <w:r w:rsidRPr="005F1FAF">
              <w:t xml:space="preserve"> cu </w:t>
            </w:r>
            <w:proofErr w:type="spellStart"/>
            <w:r w:rsidRPr="005F1FAF">
              <w:t>poziția</w:t>
            </w:r>
            <w:proofErr w:type="spellEnd"/>
            <w:r w:rsidRPr="005F1FAF">
              <w:t xml:space="preserve"> </w:t>
            </w:r>
            <w:proofErr w:type="spellStart"/>
            <w:r w:rsidRPr="005F1FAF">
              <w:t>nr</w:t>
            </w:r>
            <w:proofErr w:type="spellEnd"/>
            <w:r w:rsidRPr="005F1FAF">
              <w:t xml:space="preserve">. </w:t>
            </w:r>
            <w:proofErr w:type="spellStart"/>
            <w:proofErr w:type="gramStart"/>
            <w:r w:rsidRPr="005F1FAF">
              <w:t>crt</w:t>
            </w:r>
            <w:proofErr w:type="spellEnd"/>
            <w:proofErr w:type="gramEnd"/>
            <w:r w:rsidRPr="005F1FAF">
              <w:t>. 222;</w:t>
            </w:r>
          </w:p>
          <w:p w:rsidR="00D9337D" w:rsidRPr="005F1FAF" w:rsidRDefault="00D9337D" w:rsidP="00B0425D">
            <w:pPr>
              <w:pStyle w:val="ListParagraph"/>
              <w:numPr>
                <w:ilvl w:val="0"/>
                <w:numId w:val="15"/>
              </w:numPr>
              <w:ind w:left="0" w:firstLine="0"/>
              <w:jc w:val="both"/>
            </w:pPr>
            <w:proofErr w:type="spellStart"/>
            <w:r w:rsidRPr="005F1FAF">
              <w:t>Poziția</w:t>
            </w:r>
            <w:proofErr w:type="spellEnd"/>
            <w:r w:rsidRPr="005F1FAF">
              <w:t xml:space="preserve"> </w:t>
            </w:r>
            <w:proofErr w:type="spellStart"/>
            <w:r w:rsidRPr="005F1FAF">
              <w:t>nr</w:t>
            </w:r>
            <w:proofErr w:type="spellEnd"/>
            <w:r w:rsidRPr="005F1FAF">
              <w:t xml:space="preserve">. </w:t>
            </w:r>
            <w:proofErr w:type="spellStart"/>
            <w:proofErr w:type="gramStart"/>
            <w:r w:rsidRPr="005F1FAF">
              <w:t>crt</w:t>
            </w:r>
            <w:proofErr w:type="spellEnd"/>
            <w:proofErr w:type="gramEnd"/>
            <w:r w:rsidRPr="005F1FAF">
              <w:t xml:space="preserve">. </w:t>
            </w:r>
            <w:proofErr w:type="gramStart"/>
            <w:r w:rsidRPr="005F1FAF">
              <w:t>93</w:t>
            </w:r>
            <w:proofErr w:type="gramEnd"/>
            <w:r w:rsidRPr="005F1FAF">
              <w:t xml:space="preserve"> s-a </w:t>
            </w:r>
            <w:proofErr w:type="spellStart"/>
            <w:r w:rsidRPr="005F1FAF">
              <w:t>comasat</w:t>
            </w:r>
            <w:proofErr w:type="spellEnd"/>
            <w:r w:rsidRPr="005F1FAF">
              <w:t xml:space="preserve"> cu </w:t>
            </w:r>
            <w:proofErr w:type="spellStart"/>
            <w:r w:rsidRPr="005F1FAF">
              <w:t>poziția</w:t>
            </w:r>
            <w:proofErr w:type="spellEnd"/>
            <w:r w:rsidRPr="005F1FAF">
              <w:t xml:space="preserve"> </w:t>
            </w:r>
            <w:proofErr w:type="spellStart"/>
            <w:r w:rsidRPr="005F1FAF">
              <w:t>nr</w:t>
            </w:r>
            <w:proofErr w:type="spellEnd"/>
            <w:r w:rsidRPr="005F1FAF">
              <w:t xml:space="preserve">. </w:t>
            </w:r>
            <w:proofErr w:type="spellStart"/>
            <w:proofErr w:type="gramStart"/>
            <w:r w:rsidRPr="005F1FAF">
              <w:t>crt</w:t>
            </w:r>
            <w:proofErr w:type="spellEnd"/>
            <w:proofErr w:type="gramEnd"/>
            <w:r w:rsidRPr="005F1FAF">
              <w:t>. 227;</w:t>
            </w:r>
          </w:p>
          <w:p w:rsidR="00D9337D" w:rsidRPr="005F1FAF" w:rsidRDefault="00D9337D" w:rsidP="00B0425D">
            <w:pPr>
              <w:pStyle w:val="ListParagraph"/>
              <w:numPr>
                <w:ilvl w:val="0"/>
                <w:numId w:val="15"/>
              </w:numPr>
              <w:ind w:left="0" w:firstLine="0"/>
              <w:jc w:val="both"/>
            </w:pPr>
            <w:proofErr w:type="spellStart"/>
            <w:r w:rsidRPr="005F1FAF">
              <w:t>Poziția</w:t>
            </w:r>
            <w:proofErr w:type="spellEnd"/>
            <w:r w:rsidRPr="005F1FAF">
              <w:t xml:space="preserve"> </w:t>
            </w:r>
            <w:proofErr w:type="spellStart"/>
            <w:r w:rsidRPr="005F1FAF">
              <w:t>nr</w:t>
            </w:r>
            <w:proofErr w:type="spellEnd"/>
            <w:r w:rsidRPr="005F1FAF">
              <w:t xml:space="preserve">. </w:t>
            </w:r>
            <w:proofErr w:type="spellStart"/>
            <w:proofErr w:type="gramStart"/>
            <w:r w:rsidRPr="005F1FAF">
              <w:t>crt</w:t>
            </w:r>
            <w:proofErr w:type="spellEnd"/>
            <w:proofErr w:type="gramEnd"/>
            <w:r w:rsidRPr="005F1FAF">
              <w:t xml:space="preserve">. </w:t>
            </w:r>
            <w:proofErr w:type="gramStart"/>
            <w:r w:rsidRPr="005F1FAF">
              <w:t>114</w:t>
            </w:r>
            <w:proofErr w:type="gramEnd"/>
            <w:r w:rsidRPr="005F1FAF">
              <w:t xml:space="preserve"> s-a </w:t>
            </w:r>
            <w:proofErr w:type="spellStart"/>
            <w:r w:rsidRPr="005F1FAF">
              <w:t>comasat</w:t>
            </w:r>
            <w:proofErr w:type="spellEnd"/>
            <w:r w:rsidRPr="005F1FAF">
              <w:t xml:space="preserve"> cu </w:t>
            </w:r>
            <w:proofErr w:type="spellStart"/>
            <w:r w:rsidRPr="005F1FAF">
              <w:t>pozițiile</w:t>
            </w:r>
            <w:proofErr w:type="spellEnd"/>
            <w:r w:rsidRPr="005F1FAF">
              <w:t xml:space="preserve"> </w:t>
            </w:r>
            <w:proofErr w:type="spellStart"/>
            <w:r w:rsidRPr="005F1FAF">
              <w:t>nr</w:t>
            </w:r>
            <w:proofErr w:type="spellEnd"/>
            <w:r w:rsidRPr="005F1FAF">
              <w:t xml:space="preserve">. </w:t>
            </w:r>
            <w:proofErr w:type="spellStart"/>
            <w:proofErr w:type="gramStart"/>
            <w:r w:rsidRPr="005F1FAF">
              <w:t>crt</w:t>
            </w:r>
            <w:proofErr w:type="spellEnd"/>
            <w:proofErr w:type="gramEnd"/>
            <w:r w:rsidRPr="005F1FAF">
              <w:t xml:space="preserve">. 115 </w:t>
            </w:r>
            <w:proofErr w:type="spellStart"/>
            <w:r w:rsidRPr="005F1FAF">
              <w:t>și</w:t>
            </w:r>
            <w:proofErr w:type="spellEnd"/>
            <w:r w:rsidRPr="005F1FAF">
              <w:t xml:space="preserve"> 224;</w:t>
            </w:r>
          </w:p>
          <w:p w:rsidR="00D9337D" w:rsidRPr="005F1FAF" w:rsidRDefault="00D9337D" w:rsidP="00B0425D">
            <w:pPr>
              <w:pStyle w:val="ListParagraph"/>
              <w:numPr>
                <w:ilvl w:val="0"/>
                <w:numId w:val="15"/>
              </w:numPr>
              <w:ind w:left="0" w:firstLine="0"/>
              <w:jc w:val="both"/>
            </w:pPr>
            <w:proofErr w:type="spellStart"/>
            <w:r w:rsidRPr="005F1FAF">
              <w:t>Poziția</w:t>
            </w:r>
            <w:proofErr w:type="spellEnd"/>
            <w:r w:rsidRPr="005F1FAF">
              <w:t xml:space="preserve"> </w:t>
            </w:r>
            <w:proofErr w:type="spellStart"/>
            <w:r w:rsidRPr="005F1FAF">
              <w:t>nr</w:t>
            </w:r>
            <w:proofErr w:type="spellEnd"/>
            <w:r w:rsidRPr="005F1FAF">
              <w:t xml:space="preserve">. </w:t>
            </w:r>
            <w:proofErr w:type="spellStart"/>
            <w:proofErr w:type="gramStart"/>
            <w:r w:rsidRPr="005F1FAF">
              <w:t>crt</w:t>
            </w:r>
            <w:proofErr w:type="spellEnd"/>
            <w:proofErr w:type="gramEnd"/>
            <w:r w:rsidRPr="005F1FAF">
              <w:t xml:space="preserve">. </w:t>
            </w:r>
            <w:proofErr w:type="gramStart"/>
            <w:r w:rsidRPr="005F1FAF">
              <w:t>159</w:t>
            </w:r>
            <w:proofErr w:type="gramEnd"/>
            <w:r w:rsidRPr="005F1FAF">
              <w:t xml:space="preserve"> s-a </w:t>
            </w:r>
            <w:proofErr w:type="spellStart"/>
            <w:r w:rsidRPr="005F1FAF">
              <w:t>comasat</w:t>
            </w:r>
            <w:proofErr w:type="spellEnd"/>
            <w:r w:rsidRPr="005F1FAF">
              <w:t xml:space="preserve"> cu </w:t>
            </w:r>
            <w:proofErr w:type="spellStart"/>
            <w:r w:rsidRPr="005F1FAF">
              <w:t>pozițiile</w:t>
            </w:r>
            <w:proofErr w:type="spellEnd"/>
            <w:r w:rsidRPr="005F1FAF">
              <w:t xml:space="preserve"> </w:t>
            </w:r>
            <w:proofErr w:type="spellStart"/>
            <w:r w:rsidRPr="005F1FAF">
              <w:t>nr</w:t>
            </w:r>
            <w:proofErr w:type="spellEnd"/>
            <w:r w:rsidRPr="005F1FAF">
              <w:t xml:space="preserve">. </w:t>
            </w:r>
            <w:proofErr w:type="spellStart"/>
            <w:proofErr w:type="gramStart"/>
            <w:r w:rsidRPr="005F1FAF">
              <w:t>crt</w:t>
            </w:r>
            <w:proofErr w:type="spellEnd"/>
            <w:proofErr w:type="gramEnd"/>
            <w:r w:rsidRPr="005F1FAF">
              <w:t xml:space="preserve">. 238, 239 </w:t>
            </w:r>
            <w:proofErr w:type="spellStart"/>
            <w:r w:rsidRPr="005F1FAF">
              <w:t>și</w:t>
            </w:r>
            <w:proofErr w:type="spellEnd"/>
            <w:r w:rsidRPr="005F1FAF">
              <w:t xml:space="preserve"> 240;</w:t>
            </w:r>
          </w:p>
          <w:p w:rsidR="00D9337D" w:rsidRPr="005F1FAF" w:rsidRDefault="00D9337D" w:rsidP="00B0425D">
            <w:pPr>
              <w:pStyle w:val="ListParagraph"/>
              <w:numPr>
                <w:ilvl w:val="0"/>
                <w:numId w:val="15"/>
              </w:numPr>
              <w:ind w:left="0" w:firstLine="0"/>
              <w:jc w:val="both"/>
            </w:pPr>
            <w:proofErr w:type="spellStart"/>
            <w:r w:rsidRPr="005F1FAF">
              <w:t>Poziția</w:t>
            </w:r>
            <w:proofErr w:type="spellEnd"/>
            <w:r w:rsidRPr="005F1FAF">
              <w:t xml:space="preserve"> </w:t>
            </w:r>
            <w:proofErr w:type="spellStart"/>
            <w:r w:rsidRPr="005F1FAF">
              <w:t>nr</w:t>
            </w:r>
            <w:proofErr w:type="spellEnd"/>
            <w:r w:rsidRPr="005F1FAF">
              <w:t xml:space="preserve">. </w:t>
            </w:r>
            <w:proofErr w:type="spellStart"/>
            <w:proofErr w:type="gramStart"/>
            <w:r w:rsidRPr="005F1FAF">
              <w:t>crt</w:t>
            </w:r>
            <w:proofErr w:type="spellEnd"/>
            <w:proofErr w:type="gramEnd"/>
            <w:r w:rsidRPr="005F1FAF">
              <w:t xml:space="preserve">. </w:t>
            </w:r>
            <w:proofErr w:type="gramStart"/>
            <w:r w:rsidRPr="005F1FAF">
              <w:t>162</w:t>
            </w:r>
            <w:proofErr w:type="gramEnd"/>
            <w:r w:rsidRPr="005F1FAF">
              <w:t xml:space="preserve"> s-a </w:t>
            </w:r>
            <w:proofErr w:type="spellStart"/>
            <w:r w:rsidRPr="005F1FAF">
              <w:t>comasat</w:t>
            </w:r>
            <w:proofErr w:type="spellEnd"/>
            <w:r w:rsidRPr="005F1FAF">
              <w:t xml:space="preserve"> cu </w:t>
            </w:r>
            <w:proofErr w:type="spellStart"/>
            <w:r w:rsidRPr="005F1FAF">
              <w:t>pozițiile</w:t>
            </w:r>
            <w:proofErr w:type="spellEnd"/>
            <w:r w:rsidRPr="005F1FAF">
              <w:t xml:space="preserve"> </w:t>
            </w:r>
            <w:proofErr w:type="spellStart"/>
            <w:r w:rsidRPr="005F1FAF">
              <w:t>nr</w:t>
            </w:r>
            <w:proofErr w:type="spellEnd"/>
            <w:r w:rsidRPr="005F1FAF">
              <w:t xml:space="preserve">. </w:t>
            </w:r>
            <w:proofErr w:type="spellStart"/>
            <w:proofErr w:type="gramStart"/>
            <w:r w:rsidRPr="005F1FAF">
              <w:t>crt</w:t>
            </w:r>
            <w:proofErr w:type="spellEnd"/>
            <w:proofErr w:type="gramEnd"/>
            <w:r w:rsidRPr="005F1FAF">
              <w:t xml:space="preserve">. 163, 164, 165 </w:t>
            </w:r>
            <w:proofErr w:type="spellStart"/>
            <w:r w:rsidRPr="005F1FAF">
              <w:t>și</w:t>
            </w:r>
            <w:proofErr w:type="spellEnd"/>
            <w:r w:rsidRPr="005F1FAF">
              <w:t xml:space="preserve"> 166;</w:t>
            </w:r>
          </w:p>
          <w:p w:rsidR="00D9337D" w:rsidRPr="005F1FAF" w:rsidRDefault="00D9337D" w:rsidP="00B0425D">
            <w:pPr>
              <w:pStyle w:val="ListParagraph"/>
              <w:numPr>
                <w:ilvl w:val="0"/>
                <w:numId w:val="15"/>
              </w:numPr>
              <w:ind w:left="0" w:firstLine="0"/>
              <w:jc w:val="both"/>
            </w:pPr>
            <w:proofErr w:type="spellStart"/>
            <w:r w:rsidRPr="005F1FAF">
              <w:t>Poziția</w:t>
            </w:r>
            <w:proofErr w:type="spellEnd"/>
            <w:r w:rsidRPr="005F1FAF">
              <w:t xml:space="preserve"> </w:t>
            </w:r>
            <w:proofErr w:type="spellStart"/>
            <w:r w:rsidRPr="005F1FAF">
              <w:t>nr</w:t>
            </w:r>
            <w:proofErr w:type="spellEnd"/>
            <w:r w:rsidRPr="005F1FAF">
              <w:t xml:space="preserve">. </w:t>
            </w:r>
            <w:proofErr w:type="spellStart"/>
            <w:proofErr w:type="gramStart"/>
            <w:r w:rsidRPr="005F1FAF">
              <w:t>crt</w:t>
            </w:r>
            <w:proofErr w:type="spellEnd"/>
            <w:proofErr w:type="gramEnd"/>
            <w:r w:rsidRPr="005F1FAF">
              <w:t xml:space="preserve">. </w:t>
            </w:r>
            <w:proofErr w:type="gramStart"/>
            <w:r w:rsidRPr="005F1FAF">
              <w:t>188</w:t>
            </w:r>
            <w:proofErr w:type="gramEnd"/>
            <w:r w:rsidRPr="005F1FAF">
              <w:t xml:space="preserve"> s-a </w:t>
            </w:r>
            <w:proofErr w:type="spellStart"/>
            <w:r w:rsidRPr="005F1FAF">
              <w:t>comasat</w:t>
            </w:r>
            <w:proofErr w:type="spellEnd"/>
            <w:r w:rsidRPr="005F1FAF">
              <w:t xml:space="preserve"> cu </w:t>
            </w:r>
            <w:proofErr w:type="spellStart"/>
            <w:r w:rsidRPr="005F1FAF">
              <w:t>poziția</w:t>
            </w:r>
            <w:proofErr w:type="spellEnd"/>
            <w:r w:rsidRPr="005F1FAF">
              <w:t xml:space="preserve"> </w:t>
            </w:r>
            <w:proofErr w:type="spellStart"/>
            <w:r w:rsidRPr="005F1FAF">
              <w:t>nr</w:t>
            </w:r>
            <w:proofErr w:type="spellEnd"/>
            <w:r w:rsidRPr="005F1FAF">
              <w:t xml:space="preserve">. </w:t>
            </w:r>
            <w:proofErr w:type="spellStart"/>
            <w:proofErr w:type="gramStart"/>
            <w:r w:rsidRPr="005F1FAF">
              <w:t>crt</w:t>
            </w:r>
            <w:proofErr w:type="spellEnd"/>
            <w:proofErr w:type="gramEnd"/>
            <w:r w:rsidRPr="005F1FAF">
              <w:t>. 189;</w:t>
            </w:r>
          </w:p>
          <w:p w:rsidR="00D9337D" w:rsidRPr="005F1FAF" w:rsidRDefault="00D9337D" w:rsidP="00B0425D">
            <w:pPr>
              <w:pStyle w:val="ListParagraph"/>
              <w:numPr>
                <w:ilvl w:val="0"/>
                <w:numId w:val="15"/>
              </w:numPr>
              <w:ind w:left="0" w:firstLine="0"/>
              <w:jc w:val="both"/>
            </w:pPr>
            <w:proofErr w:type="spellStart"/>
            <w:r w:rsidRPr="005F1FAF">
              <w:t>Poziția</w:t>
            </w:r>
            <w:proofErr w:type="spellEnd"/>
            <w:r w:rsidRPr="005F1FAF">
              <w:t xml:space="preserve"> </w:t>
            </w:r>
            <w:proofErr w:type="gramStart"/>
            <w:r w:rsidRPr="005F1FAF">
              <w:t>ne</w:t>
            </w:r>
            <w:proofErr w:type="gramEnd"/>
            <w:r w:rsidRPr="005F1FAF">
              <w:t xml:space="preserve">. </w:t>
            </w:r>
            <w:proofErr w:type="spellStart"/>
            <w:r w:rsidRPr="005F1FAF">
              <w:t>crt</w:t>
            </w:r>
            <w:proofErr w:type="spellEnd"/>
            <w:r w:rsidRPr="005F1FAF">
              <w:t xml:space="preserve">. </w:t>
            </w:r>
            <w:proofErr w:type="gramStart"/>
            <w:r w:rsidRPr="005F1FAF">
              <w:t>200</w:t>
            </w:r>
            <w:proofErr w:type="gramEnd"/>
            <w:r w:rsidRPr="005F1FAF">
              <w:t xml:space="preserve"> s-a </w:t>
            </w:r>
            <w:proofErr w:type="spellStart"/>
            <w:r w:rsidRPr="005F1FAF">
              <w:t>comasat</w:t>
            </w:r>
            <w:proofErr w:type="spellEnd"/>
            <w:r w:rsidRPr="005F1FAF">
              <w:t xml:space="preserve"> cu </w:t>
            </w:r>
            <w:proofErr w:type="spellStart"/>
            <w:r w:rsidRPr="005F1FAF">
              <w:t>pozițiile</w:t>
            </w:r>
            <w:proofErr w:type="spellEnd"/>
            <w:r w:rsidRPr="005F1FAF">
              <w:t xml:space="preserve"> </w:t>
            </w:r>
            <w:proofErr w:type="spellStart"/>
            <w:r w:rsidRPr="005F1FAF">
              <w:t>nr</w:t>
            </w:r>
            <w:proofErr w:type="spellEnd"/>
            <w:r w:rsidRPr="005F1FAF">
              <w:t xml:space="preserve">. </w:t>
            </w:r>
            <w:proofErr w:type="spellStart"/>
            <w:proofErr w:type="gramStart"/>
            <w:r w:rsidRPr="005F1FAF">
              <w:t>crt</w:t>
            </w:r>
            <w:proofErr w:type="spellEnd"/>
            <w:proofErr w:type="gramEnd"/>
            <w:r w:rsidRPr="005F1FAF">
              <w:t xml:space="preserve">. 201 </w:t>
            </w:r>
            <w:proofErr w:type="spellStart"/>
            <w:r w:rsidRPr="005F1FAF">
              <w:t>și</w:t>
            </w:r>
            <w:proofErr w:type="spellEnd"/>
            <w:r w:rsidRPr="005F1FAF">
              <w:t xml:space="preserve"> 202;</w:t>
            </w:r>
          </w:p>
          <w:p w:rsidR="00D9337D" w:rsidRPr="005F1FAF" w:rsidRDefault="00D9337D" w:rsidP="00B0425D">
            <w:pPr>
              <w:pStyle w:val="ListParagraph"/>
              <w:numPr>
                <w:ilvl w:val="0"/>
                <w:numId w:val="15"/>
              </w:numPr>
              <w:ind w:left="0" w:firstLine="0"/>
              <w:jc w:val="both"/>
            </w:pPr>
            <w:proofErr w:type="spellStart"/>
            <w:r w:rsidRPr="005F1FAF">
              <w:t>Poziția</w:t>
            </w:r>
            <w:proofErr w:type="spellEnd"/>
            <w:r w:rsidRPr="005F1FAF">
              <w:t xml:space="preserve"> </w:t>
            </w:r>
            <w:proofErr w:type="spellStart"/>
            <w:r w:rsidRPr="005F1FAF">
              <w:t>nr</w:t>
            </w:r>
            <w:proofErr w:type="spellEnd"/>
            <w:r w:rsidRPr="005F1FAF">
              <w:t xml:space="preserve">. </w:t>
            </w:r>
            <w:proofErr w:type="spellStart"/>
            <w:proofErr w:type="gramStart"/>
            <w:r w:rsidRPr="005F1FAF">
              <w:t>crt</w:t>
            </w:r>
            <w:proofErr w:type="spellEnd"/>
            <w:proofErr w:type="gramEnd"/>
            <w:r w:rsidRPr="005F1FAF">
              <w:t xml:space="preserve">. </w:t>
            </w:r>
            <w:proofErr w:type="gramStart"/>
            <w:r w:rsidRPr="005F1FAF">
              <w:t>211</w:t>
            </w:r>
            <w:proofErr w:type="gramEnd"/>
            <w:r w:rsidRPr="005F1FAF">
              <w:t xml:space="preserve"> s-a </w:t>
            </w:r>
            <w:proofErr w:type="spellStart"/>
            <w:r w:rsidRPr="005F1FAF">
              <w:t>comasat</w:t>
            </w:r>
            <w:proofErr w:type="spellEnd"/>
            <w:r w:rsidRPr="005F1FAF">
              <w:t xml:space="preserve"> cu </w:t>
            </w:r>
            <w:proofErr w:type="spellStart"/>
            <w:r w:rsidRPr="005F1FAF">
              <w:t>poziția</w:t>
            </w:r>
            <w:proofErr w:type="spellEnd"/>
            <w:r w:rsidRPr="005F1FAF">
              <w:t xml:space="preserve"> </w:t>
            </w:r>
            <w:proofErr w:type="spellStart"/>
            <w:r w:rsidRPr="005F1FAF">
              <w:t>nr</w:t>
            </w:r>
            <w:proofErr w:type="spellEnd"/>
            <w:r w:rsidRPr="005F1FAF">
              <w:t xml:space="preserve">. </w:t>
            </w:r>
            <w:proofErr w:type="spellStart"/>
            <w:proofErr w:type="gramStart"/>
            <w:r w:rsidRPr="005F1FAF">
              <w:t>crt</w:t>
            </w:r>
            <w:proofErr w:type="spellEnd"/>
            <w:proofErr w:type="gramEnd"/>
            <w:r w:rsidRPr="005F1FAF">
              <w:t>. 212.</w:t>
            </w:r>
          </w:p>
          <w:p w:rsidR="00D9337D" w:rsidRPr="005F1FAF" w:rsidRDefault="00D9337D" w:rsidP="00B0425D">
            <w:pPr>
              <w:pStyle w:val="ListParagraph"/>
              <w:ind w:left="0"/>
              <w:jc w:val="both"/>
              <w:rPr>
                <w:sz w:val="16"/>
                <w:szCs w:val="16"/>
              </w:rPr>
            </w:pPr>
          </w:p>
          <w:p w:rsidR="00D9337D" w:rsidRPr="005F1FAF" w:rsidRDefault="00D9337D" w:rsidP="00B0425D">
            <w:pPr>
              <w:jc w:val="both"/>
              <w:rPr>
                <w:sz w:val="24"/>
              </w:rPr>
            </w:pPr>
            <w:r w:rsidRPr="005F1FAF">
              <w:rPr>
                <w:sz w:val="24"/>
              </w:rPr>
              <w:t xml:space="preserve">Astfel, ca urmare a comasării pozițiilor </w:t>
            </w:r>
            <w:proofErr w:type="spellStart"/>
            <w:r w:rsidRPr="005F1FAF">
              <w:rPr>
                <w:sz w:val="24"/>
              </w:rPr>
              <w:t>antemenționate</w:t>
            </w:r>
            <w:proofErr w:type="spellEnd"/>
            <w:r w:rsidRPr="005F1FAF">
              <w:rPr>
                <w:sz w:val="24"/>
              </w:rPr>
              <w:t xml:space="preserve">, prin prezentul proiect de act normativ se propune eliminarea pozițiilor de la nr. crt. </w:t>
            </w:r>
            <w:r w:rsidR="004738F8" w:rsidRPr="005F1FAF">
              <w:rPr>
                <w:sz w:val="24"/>
              </w:rPr>
              <w:t>49, 51, 115, 163, 164, 165, 166, 189, 201, 202, 212, 222, 224, 227, 238, 239 și 240</w:t>
            </w:r>
            <w:r w:rsidRPr="005F1FAF">
              <w:rPr>
                <w:sz w:val="24"/>
              </w:rPr>
              <w:t xml:space="preserve">. </w:t>
            </w:r>
          </w:p>
          <w:p w:rsidR="00D9337D" w:rsidRPr="005F1FAF" w:rsidRDefault="00D9337D" w:rsidP="00B0425D">
            <w:pPr>
              <w:pStyle w:val="ListParagraph"/>
              <w:shd w:val="clear" w:color="auto" w:fill="FFFFFF"/>
              <w:tabs>
                <w:tab w:val="left" w:pos="614"/>
                <w:tab w:val="left" w:pos="1207"/>
              </w:tabs>
              <w:ind w:left="0"/>
              <w:jc w:val="both"/>
              <w:rPr>
                <w:sz w:val="16"/>
                <w:szCs w:val="16"/>
              </w:rPr>
            </w:pPr>
          </w:p>
          <w:p w:rsidR="004738F8" w:rsidRPr="005F1FAF" w:rsidRDefault="004738F8" w:rsidP="00B0425D">
            <w:pPr>
              <w:pStyle w:val="ListParagraph"/>
              <w:numPr>
                <w:ilvl w:val="0"/>
                <w:numId w:val="14"/>
              </w:numPr>
              <w:ind w:left="0" w:firstLine="0"/>
              <w:jc w:val="both"/>
            </w:pPr>
            <w:r w:rsidRPr="005F1FAF">
              <w:t xml:space="preserve">De </w:t>
            </w:r>
            <w:proofErr w:type="spellStart"/>
            <w:r w:rsidRPr="005F1FAF">
              <w:t>asemenea</w:t>
            </w:r>
            <w:proofErr w:type="spellEnd"/>
            <w:r w:rsidRPr="005F1FAF">
              <w:t xml:space="preserve">, </w:t>
            </w:r>
            <w:proofErr w:type="spellStart"/>
            <w:r w:rsidRPr="005F1FAF">
              <w:t>după</w:t>
            </w:r>
            <w:proofErr w:type="spellEnd"/>
            <w:r w:rsidRPr="005F1FAF">
              <w:t xml:space="preserve"> </w:t>
            </w:r>
            <w:proofErr w:type="spellStart"/>
            <w:r w:rsidRPr="005F1FAF">
              <w:t>realizarea</w:t>
            </w:r>
            <w:proofErr w:type="spellEnd"/>
            <w:r w:rsidRPr="005F1FAF">
              <w:t xml:space="preserve"> </w:t>
            </w:r>
            <w:proofErr w:type="spellStart"/>
            <w:r w:rsidRPr="005F1FAF">
              <w:t>documentațiilor</w:t>
            </w:r>
            <w:proofErr w:type="spellEnd"/>
            <w:r w:rsidRPr="005F1FAF">
              <w:t xml:space="preserve"> </w:t>
            </w:r>
            <w:proofErr w:type="spellStart"/>
            <w:r w:rsidRPr="005F1FAF">
              <w:t>cadastrale</w:t>
            </w:r>
            <w:proofErr w:type="spellEnd"/>
            <w:r w:rsidRPr="005F1FAF">
              <w:t xml:space="preserve"> </w:t>
            </w:r>
            <w:proofErr w:type="spellStart"/>
            <w:r w:rsidRPr="005F1FAF">
              <w:t>individuale</w:t>
            </w:r>
            <w:proofErr w:type="spellEnd"/>
            <w:r w:rsidRPr="005F1FAF">
              <w:t xml:space="preserve">, </w:t>
            </w:r>
            <w:proofErr w:type="spellStart"/>
            <w:r w:rsidRPr="005F1FAF">
              <w:t>poziția</w:t>
            </w:r>
            <w:proofErr w:type="spellEnd"/>
            <w:r w:rsidRPr="005F1FAF">
              <w:t xml:space="preserve"> </w:t>
            </w:r>
            <w:proofErr w:type="spellStart"/>
            <w:r w:rsidRPr="005F1FAF">
              <w:t>nr</w:t>
            </w:r>
            <w:proofErr w:type="spellEnd"/>
            <w:r w:rsidRPr="005F1FAF">
              <w:t xml:space="preserve">. </w:t>
            </w:r>
            <w:proofErr w:type="spellStart"/>
            <w:proofErr w:type="gramStart"/>
            <w:r w:rsidRPr="005F1FAF">
              <w:t>crt</w:t>
            </w:r>
            <w:proofErr w:type="spellEnd"/>
            <w:proofErr w:type="gramEnd"/>
            <w:r w:rsidRPr="005F1FAF">
              <w:t xml:space="preserve">. </w:t>
            </w:r>
            <w:proofErr w:type="gramStart"/>
            <w:r w:rsidRPr="005F1FAF">
              <w:t>132</w:t>
            </w:r>
            <w:proofErr w:type="gramEnd"/>
            <w:r w:rsidRPr="005F1FAF">
              <w:t xml:space="preserve"> din </w:t>
            </w:r>
            <w:proofErr w:type="spellStart"/>
            <w:r w:rsidRPr="005F1FAF">
              <w:t>anexa</w:t>
            </w:r>
            <w:proofErr w:type="spellEnd"/>
            <w:r w:rsidRPr="005F1FAF">
              <w:t xml:space="preserve"> </w:t>
            </w:r>
            <w:proofErr w:type="spellStart"/>
            <w:r w:rsidRPr="005F1FAF">
              <w:t>nr</w:t>
            </w:r>
            <w:proofErr w:type="spellEnd"/>
            <w:r w:rsidRPr="005F1FAF">
              <w:t xml:space="preserve">. </w:t>
            </w:r>
            <w:proofErr w:type="gramStart"/>
            <w:r w:rsidRPr="005F1FAF">
              <w:t>2</w:t>
            </w:r>
            <w:proofErr w:type="gramEnd"/>
            <w:r w:rsidRPr="005F1FAF">
              <w:t xml:space="preserve"> la </w:t>
            </w:r>
            <w:proofErr w:type="spellStart"/>
            <w:r w:rsidRPr="005F1FAF">
              <w:t>Hotărârea</w:t>
            </w:r>
            <w:proofErr w:type="spellEnd"/>
            <w:r w:rsidRPr="005F1FAF">
              <w:t xml:space="preserve"> </w:t>
            </w:r>
            <w:proofErr w:type="spellStart"/>
            <w:r w:rsidRPr="005F1FAF">
              <w:t>Guvernului</w:t>
            </w:r>
            <w:proofErr w:type="spellEnd"/>
            <w:r w:rsidRPr="005F1FAF">
              <w:t xml:space="preserve"> </w:t>
            </w:r>
            <w:proofErr w:type="spellStart"/>
            <w:r w:rsidRPr="005F1FAF">
              <w:t>nr</w:t>
            </w:r>
            <w:proofErr w:type="spellEnd"/>
            <w:r w:rsidRPr="005F1FAF">
              <w:t>. 499/2010</w:t>
            </w:r>
            <w:r w:rsidR="00BD743F" w:rsidRPr="005F1FAF">
              <w:t>,</w:t>
            </w:r>
            <w:r w:rsidRPr="005F1FAF">
              <w:t xml:space="preserve"> cu </w:t>
            </w:r>
            <w:proofErr w:type="spellStart"/>
            <w:r w:rsidRPr="005F1FAF">
              <w:t>modificările</w:t>
            </w:r>
            <w:proofErr w:type="spellEnd"/>
            <w:r w:rsidRPr="005F1FAF">
              <w:t xml:space="preserve"> </w:t>
            </w:r>
            <w:proofErr w:type="spellStart"/>
            <w:r w:rsidRPr="005F1FAF">
              <w:t>și</w:t>
            </w:r>
            <w:proofErr w:type="spellEnd"/>
            <w:r w:rsidRPr="005F1FAF">
              <w:t xml:space="preserve"> </w:t>
            </w:r>
            <w:proofErr w:type="spellStart"/>
            <w:r w:rsidRPr="005F1FAF">
              <w:t>completările</w:t>
            </w:r>
            <w:proofErr w:type="spellEnd"/>
            <w:r w:rsidRPr="005F1FAF">
              <w:t xml:space="preserve"> </w:t>
            </w:r>
            <w:proofErr w:type="spellStart"/>
            <w:r w:rsidRPr="005F1FAF">
              <w:t>ulterioare</w:t>
            </w:r>
            <w:proofErr w:type="spellEnd"/>
            <w:r w:rsidRPr="005F1FAF">
              <w:t xml:space="preserve">, a </w:t>
            </w:r>
            <w:proofErr w:type="spellStart"/>
            <w:r w:rsidRPr="005F1FAF">
              <w:t>fost</w:t>
            </w:r>
            <w:proofErr w:type="spellEnd"/>
            <w:r w:rsidRPr="005F1FAF">
              <w:t xml:space="preserve"> </w:t>
            </w:r>
            <w:proofErr w:type="spellStart"/>
            <w:r w:rsidRPr="005F1FAF">
              <w:t>dezmembrată</w:t>
            </w:r>
            <w:proofErr w:type="spellEnd"/>
            <w:r w:rsidRPr="005F1FAF">
              <w:t xml:space="preserve">, </w:t>
            </w:r>
            <w:proofErr w:type="spellStart"/>
            <w:r w:rsidRPr="005F1FAF">
              <w:t>rezultând</w:t>
            </w:r>
            <w:proofErr w:type="spellEnd"/>
            <w:r w:rsidRPr="005F1FAF">
              <w:t xml:space="preserve"> </w:t>
            </w:r>
            <w:proofErr w:type="spellStart"/>
            <w:r w:rsidRPr="005F1FAF">
              <w:t>încă</w:t>
            </w:r>
            <w:proofErr w:type="spellEnd"/>
            <w:r w:rsidRPr="005F1FAF">
              <w:t xml:space="preserve"> </w:t>
            </w:r>
            <w:proofErr w:type="gramStart"/>
            <w:r w:rsidRPr="005F1FAF">
              <w:t>un</w:t>
            </w:r>
            <w:proofErr w:type="gramEnd"/>
            <w:r w:rsidRPr="005F1FAF">
              <w:t xml:space="preserve"> </w:t>
            </w:r>
            <w:proofErr w:type="spellStart"/>
            <w:r w:rsidRPr="005F1FAF">
              <w:t>imobil</w:t>
            </w:r>
            <w:proofErr w:type="spellEnd"/>
            <w:r w:rsidRPr="005F1FAF">
              <w:t xml:space="preserve">, </w:t>
            </w:r>
            <w:proofErr w:type="spellStart"/>
            <w:r w:rsidRPr="005F1FAF">
              <w:t>urmând</w:t>
            </w:r>
            <w:proofErr w:type="spellEnd"/>
            <w:r w:rsidRPr="005F1FAF">
              <w:t xml:space="preserve"> a </w:t>
            </w:r>
            <w:proofErr w:type="spellStart"/>
            <w:r w:rsidRPr="005F1FAF">
              <w:t>avea</w:t>
            </w:r>
            <w:proofErr w:type="spellEnd"/>
            <w:r w:rsidRPr="005F1FAF">
              <w:t xml:space="preserve"> </w:t>
            </w:r>
            <w:proofErr w:type="spellStart"/>
            <w:r w:rsidRPr="005F1FAF">
              <w:t>poziția</w:t>
            </w:r>
            <w:proofErr w:type="spellEnd"/>
            <w:r w:rsidRPr="005F1FAF">
              <w:t xml:space="preserve">: </w:t>
            </w:r>
            <w:r w:rsidRPr="005F1FAF">
              <w:rPr>
                <w:b/>
              </w:rPr>
              <w:t>132¹,</w:t>
            </w:r>
            <w:r w:rsidRPr="005F1FAF">
              <w:t xml:space="preserve"> </w:t>
            </w:r>
            <w:proofErr w:type="spellStart"/>
            <w:r w:rsidRPr="005F1FAF">
              <w:t>astfel</w:t>
            </w:r>
            <w:proofErr w:type="spellEnd"/>
            <w:r w:rsidRPr="005F1FAF">
              <w:t xml:space="preserve"> </w:t>
            </w:r>
            <w:proofErr w:type="spellStart"/>
            <w:r w:rsidRPr="005F1FAF">
              <w:t>fiind</w:t>
            </w:r>
            <w:proofErr w:type="spellEnd"/>
            <w:r w:rsidRPr="005F1FAF">
              <w:t xml:space="preserve"> </w:t>
            </w:r>
            <w:proofErr w:type="spellStart"/>
            <w:r w:rsidRPr="005F1FAF">
              <w:t>necesară</w:t>
            </w:r>
            <w:proofErr w:type="spellEnd"/>
            <w:r w:rsidRPr="005F1FAF">
              <w:t xml:space="preserve"> </w:t>
            </w:r>
            <w:proofErr w:type="spellStart"/>
            <w:r w:rsidRPr="005F1FAF">
              <w:t>modificarea</w:t>
            </w:r>
            <w:proofErr w:type="spellEnd"/>
            <w:r w:rsidRPr="005F1FAF">
              <w:t xml:space="preserve"> </w:t>
            </w:r>
            <w:proofErr w:type="spellStart"/>
            <w:r w:rsidRPr="005F1FAF">
              <w:t>anexei</w:t>
            </w:r>
            <w:proofErr w:type="spellEnd"/>
            <w:r w:rsidRPr="005F1FAF">
              <w:t xml:space="preserve"> </w:t>
            </w:r>
            <w:proofErr w:type="spellStart"/>
            <w:r w:rsidRPr="005F1FAF">
              <w:t>nr</w:t>
            </w:r>
            <w:proofErr w:type="spellEnd"/>
            <w:r w:rsidRPr="005F1FAF">
              <w:t xml:space="preserve">. </w:t>
            </w:r>
            <w:proofErr w:type="gramStart"/>
            <w:r w:rsidRPr="005F1FAF">
              <w:t>2</w:t>
            </w:r>
            <w:proofErr w:type="gramEnd"/>
            <w:r w:rsidRPr="005F1FAF">
              <w:t xml:space="preserve"> </w:t>
            </w:r>
            <w:proofErr w:type="spellStart"/>
            <w:r w:rsidRPr="005F1FAF">
              <w:t>antemenționată</w:t>
            </w:r>
            <w:proofErr w:type="spellEnd"/>
            <w:r w:rsidRPr="005F1FAF">
              <w:t xml:space="preserve">, </w:t>
            </w:r>
            <w:proofErr w:type="spellStart"/>
            <w:r w:rsidRPr="005F1FAF">
              <w:t>în</w:t>
            </w:r>
            <w:proofErr w:type="spellEnd"/>
            <w:r w:rsidRPr="005F1FAF">
              <w:t xml:space="preserve"> </w:t>
            </w:r>
            <w:proofErr w:type="spellStart"/>
            <w:r w:rsidRPr="005F1FAF">
              <w:t>conformitate</w:t>
            </w:r>
            <w:proofErr w:type="spellEnd"/>
            <w:r w:rsidRPr="005F1FAF">
              <w:t xml:space="preserve"> cu </w:t>
            </w:r>
            <w:proofErr w:type="spellStart"/>
            <w:r w:rsidRPr="005F1FAF">
              <w:t>anexa</w:t>
            </w:r>
            <w:proofErr w:type="spellEnd"/>
            <w:r w:rsidRPr="005F1FAF">
              <w:t xml:space="preserve"> la </w:t>
            </w:r>
            <w:proofErr w:type="spellStart"/>
            <w:r w:rsidRPr="005F1FAF">
              <w:t>prezentul</w:t>
            </w:r>
            <w:proofErr w:type="spellEnd"/>
            <w:r w:rsidRPr="005F1FAF">
              <w:t xml:space="preserve"> </w:t>
            </w:r>
            <w:proofErr w:type="spellStart"/>
            <w:r w:rsidRPr="005F1FAF">
              <w:t>proiect</w:t>
            </w:r>
            <w:proofErr w:type="spellEnd"/>
            <w:r w:rsidRPr="005F1FAF">
              <w:t xml:space="preserve">. </w:t>
            </w:r>
            <w:proofErr w:type="spellStart"/>
            <w:r w:rsidRPr="005F1FAF">
              <w:t>Suprafața</w:t>
            </w:r>
            <w:proofErr w:type="spellEnd"/>
            <w:r w:rsidRPr="005F1FAF">
              <w:t xml:space="preserve"> </w:t>
            </w:r>
            <w:proofErr w:type="spellStart"/>
            <w:r w:rsidRPr="005F1FAF">
              <w:t>expropriată</w:t>
            </w:r>
            <w:proofErr w:type="spellEnd"/>
            <w:r w:rsidRPr="005F1FAF">
              <w:t xml:space="preserve"> </w:t>
            </w:r>
            <w:proofErr w:type="spellStart"/>
            <w:r w:rsidRPr="005F1FAF">
              <w:t>aferentă</w:t>
            </w:r>
            <w:proofErr w:type="spellEnd"/>
            <w:r w:rsidRPr="005F1FAF">
              <w:t xml:space="preserve"> </w:t>
            </w:r>
            <w:proofErr w:type="spellStart"/>
            <w:r w:rsidRPr="005F1FAF">
              <w:t>poziției</w:t>
            </w:r>
            <w:proofErr w:type="spellEnd"/>
            <w:r w:rsidRPr="005F1FAF">
              <w:t xml:space="preserve"> </w:t>
            </w:r>
            <w:proofErr w:type="spellStart"/>
            <w:r w:rsidRPr="005F1FAF">
              <w:t>nr</w:t>
            </w:r>
            <w:proofErr w:type="spellEnd"/>
            <w:r w:rsidRPr="005F1FAF">
              <w:t xml:space="preserve">. </w:t>
            </w:r>
            <w:proofErr w:type="spellStart"/>
            <w:proofErr w:type="gramStart"/>
            <w:r w:rsidRPr="005F1FAF">
              <w:t>crt</w:t>
            </w:r>
            <w:proofErr w:type="spellEnd"/>
            <w:proofErr w:type="gramEnd"/>
            <w:r w:rsidRPr="005F1FAF">
              <w:t xml:space="preserve">. </w:t>
            </w:r>
            <w:proofErr w:type="gramStart"/>
            <w:r w:rsidRPr="005F1FAF">
              <w:t>132 se</w:t>
            </w:r>
            <w:proofErr w:type="gramEnd"/>
            <w:r w:rsidRPr="005F1FAF">
              <w:t xml:space="preserve"> </w:t>
            </w:r>
            <w:proofErr w:type="spellStart"/>
            <w:r w:rsidRPr="005F1FAF">
              <w:t>diminuează</w:t>
            </w:r>
            <w:proofErr w:type="spellEnd"/>
            <w:r w:rsidRPr="005F1FAF">
              <w:t xml:space="preserve"> </w:t>
            </w:r>
            <w:proofErr w:type="spellStart"/>
            <w:r w:rsidRPr="005F1FAF">
              <w:t>prin</w:t>
            </w:r>
            <w:proofErr w:type="spellEnd"/>
            <w:r w:rsidRPr="005F1FAF">
              <w:t xml:space="preserve"> </w:t>
            </w:r>
            <w:proofErr w:type="spellStart"/>
            <w:r w:rsidRPr="005F1FAF">
              <w:t>dezmembrarea</w:t>
            </w:r>
            <w:proofErr w:type="spellEnd"/>
            <w:r w:rsidRPr="005F1FAF">
              <w:t xml:space="preserve"> </w:t>
            </w:r>
            <w:proofErr w:type="spellStart"/>
            <w:r w:rsidRPr="005F1FAF">
              <w:t>și</w:t>
            </w:r>
            <w:proofErr w:type="spellEnd"/>
            <w:r w:rsidRPr="005F1FAF">
              <w:t xml:space="preserve"> </w:t>
            </w:r>
            <w:proofErr w:type="spellStart"/>
            <w:r w:rsidRPr="005F1FAF">
              <w:t>apariția</w:t>
            </w:r>
            <w:proofErr w:type="spellEnd"/>
            <w:r w:rsidRPr="005F1FAF">
              <w:t xml:space="preserve"> </w:t>
            </w:r>
            <w:proofErr w:type="spellStart"/>
            <w:r w:rsidRPr="005F1FAF">
              <w:t>noii</w:t>
            </w:r>
            <w:proofErr w:type="spellEnd"/>
            <w:r w:rsidRPr="005F1FAF">
              <w:t xml:space="preserve"> </w:t>
            </w:r>
            <w:proofErr w:type="spellStart"/>
            <w:r w:rsidRPr="005F1FAF">
              <w:t>poziții</w:t>
            </w:r>
            <w:proofErr w:type="spellEnd"/>
            <w:r w:rsidRPr="005F1FAF">
              <w:t xml:space="preserve">, ca </w:t>
            </w:r>
            <w:proofErr w:type="spellStart"/>
            <w:r w:rsidRPr="005F1FAF">
              <w:t>urmare</w:t>
            </w:r>
            <w:proofErr w:type="spellEnd"/>
            <w:r w:rsidRPr="005F1FAF">
              <w:t xml:space="preserve"> a </w:t>
            </w:r>
            <w:proofErr w:type="spellStart"/>
            <w:r w:rsidRPr="005F1FAF">
              <w:t>întocmirii</w:t>
            </w:r>
            <w:proofErr w:type="spellEnd"/>
            <w:r w:rsidRPr="005F1FAF">
              <w:t xml:space="preserve"> </w:t>
            </w:r>
            <w:proofErr w:type="spellStart"/>
            <w:r w:rsidRPr="005F1FAF">
              <w:t>documentațiilor</w:t>
            </w:r>
            <w:proofErr w:type="spellEnd"/>
            <w:r w:rsidRPr="005F1FAF">
              <w:t xml:space="preserve"> </w:t>
            </w:r>
            <w:proofErr w:type="spellStart"/>
            <w:r w:rsidRPr="005F1FAF">
              <w:t>cadastrale</w:t>
            </w:r>
            <w:proofErr w:type="spellEnd"/>
            <w:r w:rsidRPr="005F1FAF">
              <w:t xml:space="preserve"> </w:t>
            </w:r>
            <w:proofErr w:type="spellStart"/>
            <w:r w:rsidRPr="005F1FAF">
              <w:t>individuale</w:t>
            </w:r>
            <w:proofErr w:type="spellEnd"/>
            <w:r w:rsidRPr="005F1FAF">
              <w:t xml:space="preserve">. </w:t>
            </w:r>
            <w:proofErr w:type="spellStart"/>
            <w:r w:rsidRPr="005F1FAF">
              <w:t>Despăgubirea</w:t>
            </w:r>
            <w:proofErr w:type="spellEnd"/>
            <w:r w:rsidRPr="005F1FAF">
              <w:t xml:space="preserve"> </w:t>
            </w:r>
            <w:proofErr w:type="spellStart"/>
            <w:r w:rsidRPr="005F1FAF">
              <w:t>pentru</w:t>
            </w:r>
            <w:proofErr w:type="spellEnd"/>
            <w:r w:rsidRPr="005F1FAF">
              <w:t xml:space="preserve"> </w:t>
            </w:r>
            <w:proofErr w:type="spellStart"/>
            <w:r w:rsidRPr="005F1FAF">
              <w:t>imobilul</w:t>
            </w:r>
            <w:proofErr w:type="spellEnd"/>
            <w:r w:rsidRPr="005F1FAF">
              <w:t xml:space="preserve"> </w:t>
            </w:r>
            <w:proofErr w:type="spellStart"/>
            <w:r w:rsidRPr="005F1FAF">
              <w:t>rezultat</w:t>
            </w:r>
            <w:proofErr w:type="spellEnd"/>
            <w:r w:rsidRPr="005F1FAF">
              <w:t xml:space="preserve"> din </w:t>
            </w:r>
            <w:proofErr w:type="spellStart"/>
            <w:r w:rsidRPr="005F1FAF">
              <w:t>dezmembrare</w:t>
            </w:r>
            <w:proofErr w:type="spellEnd"/>
            <w:r w:rsidRPr="005F1FAF">
              <w:t xml:space="preserve"> </w:t>
            </w:r>
            <w:proofErr w:type="spellStart"/>
            <w:proofErr w:type="gramStart"/>
            <w:r w:rsidRPr="005F1FAF">
              <w:t>este</w:t>
            </w:r>
            <w:proofErr w:type="spellEnd"/>
            <w:proofErr w:type="gramEnd"/>
            <w:r w:rsidRPr="005F1FAF">
              <w:t xml:space="preserve"> </w:t>
            </w:r>
            <w:proofErr w:type="spellStart"/>
            <w:r w:rsidRPr="005F1FAF">
              <w:t>în</w:t>
            </w:r>
            <w:proofErr w:type="spellEnd"/>
            <w:r w:rsidRPr="005F1FAF">
              <w:t xml:space="preserve"> </w:t>
            </w:r>
            <w:proofErr w:type="spellStart"/>
            <w:r w:rsidRPr="005F1FAF">
              <w:t>cuantum</w:t>
            </w:r>
            <w:proofErr w:type="spellEnd"/>
            <w:r w:rsidRPr="005F1FAF">
              <w:t xml:space="preserve"> total de </w:t>
            </w:r>
            <w:r w:rsidRPr="005F1FAF">
              <w:rPr>
                <w:b/>
              </w:rPr>
              <w:t>107.774,72 lei</w:t>
            </w:r>
            <w:r w:rsidR="008B7E3D" w:rsidRPr="005F1FAF">
              <w:rPr>
                <w:b/>
              </w:rPr>
              <w:t xml:space="preserve">, </w:t>
            </w:r>
            <w:proofErr w:type="spellStart"/>
            <w:r w:rsidR="008B7E3D" w:rsidRPr="005F1FAF">
              <w:t>sumă</w:t>
            </w:r>
            <w:proofErr w:type="spellEnd"/>
            <w:r w:rsidR="008B7E3D" w:rsidRPr="005F1FAF">
              <w:t xml:space="preserve"> </w:t>
            </w:r>
            <w:r w:rsidR="00F06A51" w:rsidRPr="005F1FAF">
              <w:t xml:space="preserve">care </w:t>
            </w:r>
            <w:proofErr w:type="spellStart"/>
            <w:r w:rsidR="00F06A51" w:rsidRPr="005F1FAF">
              <w:t>necesită</w:t>
            </w:r>
            <w:proofErr w:type="spellEnd"/>
            <w:r w:rsidR="00F06A51" w:rsidRPr="005F1FAF">
              <w:t xml:space="preserve"> a fi </w:t>
            </w:r>
            <w:proofErr w:type="spellStart"/>
            <w:r w:rsidR="00F06A51" w:rsidRPr="005F1FAF">
              <w:t>suplimentată</w:t>
            </w:r>
            <w:proofErr w:type="spellEnd"/>
            <w:r w:rsidR="00F06A51" w:rsidRPr="005F1FAF">
              <w:t xml:space="preserve"> </w:t>
            </w:r>
            <w:proofErr w:type="spellStart"/>
            <w:r w:rsidR="00F06A51" w:rsidRPr="005F1FAF">
              <w:t>prin</w:t>
            </w:r>
            <w:proofErr w:type="spellEnd"/>
            <w:r w:rsidR="00F06A51" w:rsidRPr="005F1FAF">
              <w:t xml:space="preserve"> </w:t>
            </w:r>
            <w:proofErr w:type="spellStart"/>
            <w:r w:rsidR="00F06A51" w:rsidRPr="005F1FAF">
              <w:t>prezentul</w:t>
            </w:r>
            <w:proofErr w:type="spellEnd"/>
            <w:r w:rsidR="00F06A51" w:rsidRPr="005F1FAF">
              <w:t xml:space="preserve"> </w:t>
            </w:r>
            <w:proofErr w:type="spellStart"/>
            <w:r w:rsidR="00F06A51" w:rsidRPr="005F1FAF">
              <w:t>proiect</w:t>
            </w:r>
            <w:proofErr w:type="spellEnd"/>
            <w:r w:rsidR="00F06A51" w:rsidRPr="005F1FAF">
              <w:t xml:space="preserve"> de act </w:t>
            </w:r>
            <w:proofErr w:type="spellStart"/>
            <w:r w:rsidR="00F06A51" w:rsidRPr="005F1FAF">
              <w:t>normativ</w:t>
            </w:r>
            <w:proofErr w:type="spellEnd"/>
            <w:r w:rsidR="00F06A51" w:rsidRPr="005F1FAF">
              <w:t>.</w:t>
            </w:r>
          </w:p>
          <w:p w:rsidR="004738F8" w:rsidRPr="005F1FAF" w:rsidRDefault="004738F8" w:rsidP="00B0425D">
            <w:pPr>
              <w:pStyle w:val="ListParagraph"/>
              <w:shd w:val="clear" w:color="auto" w:fill="FFFFFF"/>
              <w:tabs>
                <w:tab w:val="left" w:pos="614"/>
                <w:tab w:val="left" w:pos="1207"/>
              </w:tabs>
              <w:ind w:left="0"/>
              <w:jc w:val="both"/>
              <w:rPr>
                <w:sz w:val="16"/>
                <w:szCs w:val="16"/>
              </w:rPr>
            </w:pPr>
          </w:p>
          <w:p w:rsidR="00276690" w:rsidRPr="005F1FAF" w:rsidRDefault="00D9337D" w:rsidP="00276690">
            <w:pPr>
              <w:pStyle w:val="ListParagraph"/>
              <w:numPr>
                <w:ilvl w:val="0"/>
                <w:numId w:val="14"/>
              </w:numPr>
              <w:shd w:val="clear" w:color="auto" w:fill="FFFFFF"/>
              <w:tabs>
                <w:tab w:val="left" w:pos="614"/>
                <w:tab w:val="left" w:pos="1207"/>
              </w:tabs>
              <w:ind w:left="0" w:firstLine="0"/>
              <w:jc w:val="both"/>
            </w:pPr>
            <w:proofErr w:type="spellStart"/>
            <w:r w:rsidRPr="005F1FAF">
              <w:t>Urmare</w:t>
            </w:r>
            <w:proofErr w:type="spellEnd"/>
            <w:r w:rsidRPr="005F1FAF">
              <w:t xml:space="preserve"> </w:t>
            </w:r>
            <w:proofErr w:type="gramStart"/>
            <w:r w:rsidRPr="005F1FAF">
              <w:t>a</w:t>
            </w:r>
            <w:proofErr w:type="gramEnd"/>
            <w:r w:rsidRPr="005F1FAF">
              <w:t xml:space="preserve"> </w:t>
            </w:r>
            <w:proofErr w:type="spellStart"/>
            <w:r w:rsidRPr="005F1FAF">
              <w:t>întocmirii</w:t>
            </w:r>
            <w:proofErr w:type="spellEnd"/>
            <w:r w:rsidRPr="005F1FAF">
              <w:t xml:space="preserve"> </w:t>
            </w:r>
            <w:proofErr w:type="spellStart"/>
            <w:r w:rsidRPr="005F1FAF">
              <w:t>documentațiilor</w:t>
            </w:r>
            <w:proofErr w:type="spellEnd"/>
            <w:r w:rsidRPr="005F1FAF">
              <w:t xml:space="preserve"> </w:t>
            </w:r>
            <w:proofErr w:type="spellStart"/>
            <w:r w:rsidRPr="005F1FAF">
              <w:t>cadastrale</w:t>
            </w:r>
            <w:proofErr w:type="spellEnd"/>
            <w:r w:rsidRPr="005F1FAF">
              <w:t xml:space="preserve">, </w:t>
            </w:r>
            <w:proofErr w:type="spellStart"/>
            <w:r w:rsidRPr="005F1FAF">
              <w:rPr>
                <w:bCs/>
              </w:rPr>
              <w:t>pe</w:t>
            </w:r>
            <w:proofErr w:type="spellEnd"/>
            <w:r w:rsidRPr="005F1FAF">
              <w:rPr>
                <w:bCs/>
              </w:rPr>
              <w:t xml:space="preserve"> </w:t>
            </w:r>
            <w:proofErr w:type="spellStart"/>
            <w:r w:rsidRPr="005F1FAF">
              <w:rPr>
                <w:bCs/>
              </w:rPr>
              <w:t>terenurile</w:t>
            </w:r>
            <w:proofErr w:type="spellEnd"/>
            <w:r w:rsidR="00CC3C14" w:rsidRPr="005F1FAF">
              <w:rPr>
                <w:bCs/>
              </w:rPr>
              <w:t xml:space="preserve"> </w:t>
            </w:r>
            <w:proofErr w:type="spellStart"/>
            <w:r w:rsidR="00CC3C14" w:rsidRPr="005F1FAF">
              <w:rPr>
                <w:bCs/>
              </w:rPr>
              <w:t>supus</w:t>
            </w:r>
            <w:r w:rsidRPr="005F1FAF">
              <w:rPr>
                <w:bCs/>
              </w:rPr>
              <w:t>e</w:t>
            </w:r>
            <w:proofErr w:type="spellEnd"/>
            <w:r w:rsidR="00CC3C14" w:rsidRPr="005F1FAF">
              <w:rPr>
                <w:bCs/>
              </w:rPr>
              <w:t xml:space="preserve"> </w:t>
            </w:r>
            <w:proofErr w:type="spellStart"/>
            <w:r w:rsidR="00CC3C14" w:rsidRPr="005F1FAF">
              <w:rPr>
                <w:bCs/>
              </w:rPr>
              <w:t>deja</w:t>
            </w:r>
            <w:proofErr w:type="spellEnd"/>
            <w:r w:rsidR="00CC3C14" w:rsidRPr="005F1FAF">
              <w:rPr>
                <w:bCs/>
              </w:rPr>
              <w:t xml:space="preserve"> </w:t>
            </w:r>
            <w:proofErr w:type="spellStart"/>
            <w:r w:rsidR="00CC3C14" w:rsidRPr="005F1FAF">
              <w:rPr>
                <w:bCs/>
              </w:rPr>
              <w:t>exproprierii</w:t>
            </w:r>
            <w:proofErr w:type="spellEnd"/>
            <w:r w:rsidR="00CC3C14" w:rsidRPr="005F1FAF">
              <w:rPr>
                <w:bCs/>
              </w:rPr>
              <w:t xml:space="preserve"> de la </w:t>
            </w:r>
            <w:proofErr w:type="spellStart"/>
            <w:r w:rsidR="00CC3C14" w:rsidRPr="005F1FAF">
              <w:rPr>
                <w:b/>
                <w:bCs/>
              </w:rPr>
              <w:t>poziți</w:t>
            </w:r>
            <w:r w:rsidR="000D0764" w:rsidRPr="005F1FAF">
              <w:rPr>
                <w:b/>
                <w:bCs/>
              </w:rPr>
              <w:t>ile</w:t>
            </w:r>
            <w:proofErr w:type="spellEnd"/>
            <w:r w:rsidR="00CC3C14" w:rsidRPr="005F1FAF">
              <w:rPr>
                <w:b/>
                <w:bCs/>
              </w:rPr>
              <w:t xml:space="preserve"> </w:t>
            </w:r>
            <w:proofErr w:type="spellStart"/>
            <w:r w:rsidR="00CC3C14" w:rsidRPr="005F1FAF">
              <w:rPr>
                <w:b/>
                <w:bCs/>
              </w:rPr>
              <w:t>nr</w:t>
            </w:r>
            <w:proofErr w:type="spellEnd"/>
            <w:r w:rsidR="00CC3C14" w:rsidRPr="005F1FAF">
              <w:rPr>
                <w:b/>
                <w:bCs/>
              </w:rPr>
              <w:t xml:space="preserve">. </w:t>
            </w:r>
            <w:proofErr w:type="spellStart"/>
            <w:proofErr w:type="gramStart"/>
            <w:r w:rsidR="00CC3C14" w:rsidRPr="005F1FAF">
              <w:rPr>
                <w:b/>
                <w:bCs/>
              </w:rPr>
              <w:t>crt</w:t>
            </w:r>
            <w:proofErr w:type="spellEnd"/>
            <w:proofErr w:type="gramEnd"/>
            <w:r w:rsidR="00874FCB" w:rsidRPr="005F1FAF">
              <w:rPr>
                <w:b/>
                <w:bCs/>
              </w:rPr>
              <w:t>.</w:t>
            </w:r>
            <w:r w:rsidR="00CC3C14" w:rsidRPr="005F1FAF">
              <w:rPr>
                <w:b/>
                <w:bCs/>
              </w:rPr>
              <w:t xml:space="preserve"> 3, 93 </w:t>
            </w:r>
            <w:proofErr w:type="spellStart"/>
            <w:r w:rsidR="00CC3C14" w:rsidRPr="005F1FAF">
              <w:rPr>
                <w:b/>
                <w:bCs/>
              </w:rPr>
              <w:t>și</w:t>
            </w:r>
            <w:proofErr w:type="spellEnd"/>
            <w:r w:rsidR="00CC3C14" w:rsidRPr="005F1FAF">
              <w:rPr>
                <w:b/>
                <w:bCs/>
              </w:rPr>
              <w:t xml:space="preserve"> 151</w:t>
            </w:r>
            <w:r w:rsidR="00CC3C14" w:rsidRPr="005F1FAF">
              <w:rPr>
                <w:bCs/>
              </w:rPr>
              <w:t xml:space="preserve">, au </w:t>
            </w:r>
            <w:proofErr w:type="spellStart"/>
            <w:r w:rsidR="00CC3C14" w:rsidRPr="005F1FAF">
              <w:rPr>
                <w:bCs/>
              </w:rPr>
              <w:t>fost</w:t>
            </w:r>
            <w:proofErr w:type="spellEnd"/>
            <w:r w:rsidR="00CC3C14" w:rsidRPr="005F1FAF">
              <w:rPr>
                <w:bCs/>
              </w:rPr>
              <w:t xml:space="preserve"> </w:t>
            </w:r>
            <w:proofErr w:type="spellStart"/>
            <w:r w:rsidR="00CC3C14" w:rsidRPr="005F1FAF">
              <w:rPr>
                <w:bCs/>
              </w:rPr>
              <w:t>identificate</w:t>
            </w:r>
            <w:proofErr w:type="spellEnd"/>
            <w:r w:rsidR="00CC3C14" w:rsidRPr="005F1FAF">
              <w:rPr>
                <w:bCs/>
              </w:rPr>
              <w:t xml:space="preserve"> </w:t>
            </w:r>
            <w:proofErr w:type="spellStart"/>
            <w:r w:rsidR="00CC3C14" w:rsidRPr="005F1FAF">
              <w:rPr>
                <w:bCs/>
              </w:rPr>
              <w:t>construcții</w:t>
            </w:r>
            <w:proofErr w:type="spellEnd"/>
            <w:r w:rsidR="00CC3C14" w:rsidRPr="005F1FAF">
              <w:rPr>
                <w:bCs/>
              </w:rPr>
              <w:t xml:space="preserve"> care la </w:t>
            </w:r>
            <w:proofErr w:type="spellStart"/>
            <w:r w:rsidR="00CC3C14" w:rsidRPr="005F1FAF">
              <w:rPr>
                <w:bCs/>
              </w:rPr>
              <w:t>momentul</w:t>
            </w:r>
            <w:proofErr w:type="spellEnd"/>
            <w:r w:rsidR="00CC3C14" w:rsidRPr="005F1FAF">
              <w:rPr>
                <w:bCs/>
              </w:rPr>
              <w:t xml:space="preserve"> </w:t>
            </w:r>
            <w:proofErr w:type="spellStart"/>
            <w:r w:rsidR="00CC3C14" w:rsidRPr="005F1FAF">
              <w:rPr>
                <w:bCs/>
              </w:rPr>
              <w:t>declanșării</w:t>
            </w:r>
            <w:proofErr w:type="spellEnd"/>
            <w:r w:rsidR="00CC3C14" w:rsidRPr="005F1FAF">
              <w:rPr>
                <w:bCs/>
              </w:rPr>
              <w:t xml:space="preserve"> </w:t>
            </w:r>
            <w:proofErr w:type="spellStart"/>
            <w:r w:rsidR="00CC3C14" w:rsidRPr="005F1FAF">
              <w:rPr>
                <w:bCs/>
              </w:rPr>
              <w:t>procedurii</w:t>
            </w:r>
            <w:proofErr w:type="spellEnd"/>
            <w:r w:rsidR="00CC3C14" w:rsidRPr="005F1FAF">
              <w:rPr>
                <w:bCs/>
              </w:rPr>
              <w:t xml:space="preserve"> de </w:t>
            </w:r>
            <w:proofErr w:type="spellStart"/>
            <w:r w:rsidR="00CC3C14" w:rsidRPr="005F1FAF">
              <w:rPr>
                <w:bCs/>
              </w:rPr>
              <w:t>expropriere</w:t>
            </w:r>
            <w:proofErr w:type="spellEnd"/>
            <w:r w:rsidR="00CC3C14" w:rsidRPr="005F1FAF">
              <w:rPr>
                <w:bCs/>
              </w:rPr>
              <w:t xml:space="preserve"> </w:t>
            </w:r>
            <w:proofErr w:type="spellStart"/>
            <w:r w:rsidR="00CC3C14" w:rsidRPr="005F1FAF">
              <w:rPr>
                <w:bCs/>
              </w:rPr>
              <w:t>pentru</w:t>
            </w:r>
            <w:proofErr w:type="spellEnd"/>
            <w:r w:rsidR="00CC3C14" w:rsidRPr="005F1FAF">
              <w:rPr>
                <w:bCs/>
              </w:rPr>
              <w:t xml:space="preserve"> </w:t>
            </w:r>
            <w:proofErr w:type="spellStart"/>
            <w:r w:rsidR="00CC3C14" w:rsidRPr="005F1FAF">
              <w:rPr>
                <w:bCs/>
              </w:rPr>
              <w:t>terenuri</w:t>
            </w:r>
            <w:proofErr w:type="spellEnd"/>
            <w:r w:rsidR="00CC3C14" w:rsidRPr="005F1FAF">
              <w:rPr>
                <w:bCs/>
              </w:rPr>
              <w:t xml:space="preserve">, nu au </w:t>
            </w:r>
            <w:proofErr w:type="spellStart"/>
            <w:r w:rsidR="00CC3C14" w:rsidRPr="005F1FAF">
              <w:rPr>
                <w:bCs/>
              </w:rPr>
              <w:t>fost</w:t>
            </w:r>
            <w:proofErr w:type="spellEnd"/>
            <w:r w:rsidR="00CC3C14" w:rsidRPr="005F1FAF">
              <w:rPr>
                <w:bCs/>
              </w:rPr>
              <w:t xml:space="preserve"> </w:t>
            </w:r>
            <w:proofErr w:type="spellStart"/>
            <w:r w:rsidR="00CC3C14" w:rsidRPr="005F1FAF">
              <w:rPr>
                <w:bCs/>
              </w:rPr>
              <w:t>identificate</w:t>
            </w:r>
            <w:proofErr w:type="spellEnd"/>
            <w:r w:rsidR="00CC3C14" w:rsidRPr="005F1FAF">
              <w:rPr>
                <w:bCs/>
              </w:rPr>
              <w:t xml:space="preserve">, </w:t>
            </w:r>
            <w:proofErr w:type="spellStart"/>
            <w:r w:rsidR="00CC3C14" w:rsidRPr="005F1FAF">
              <w:rPr>
                <w:bCs/>
              </w:rPr>
              <w:t>astfel</w:t>
            </w:r>
            <w:proofErr w:type="spellEnd"/>
            <w:r w:rsidR="00CC3C14" w:rsidRPr="005F1FAF">
              <w:rPr>
                <w:bCs/>
              </w:rPr>
              <w:t xml:space="preserve"> </w:t>
            </w:r>
            <w:proofErr w:type="spellStart"/>
            <w:r w:rsidR="00CC3C14" w:rsidRPr="005F1FAF">
              <w:rPr>
                <w:bCs/>
              </w:rPr>
              <w:t>încât</w:t>
            </w:r>
            <w:proofErr w:type="spellEnd"/>
            <w:r w:rsidR="00CC3C14" w:rsidRPr="005F1FAF">
              <w:rPr>
                <w:bCs/>
              </w:rPr>
              <w:t xml:space="preserve"> </w:t>
            </w:r>
            <w:proofErr w:type="spellStart"/>
            <w:r w:rsidR="00CC3C14" w:rsidRPr="005F1FAF">
              <w:rPr>
                <w:bCs/>
              </w:rPr>
              <w:t>prin</w:t>
            </w:r>
            <w:proofErr w:type="spellEnd"/>
            <w:r w:rsidR="00CC3C14" w:rsidRPr="005F1FAF">
              <w:rPr>
                <w:bCs/>
              </w:rPr>
              <w:t xml:space="preserve"> </w:t>
            </w:r>
            <w:proofErr w:type="spellStart"/>
            <w:r w:rsidR="00CC3C14" w:rsidRPr="005F1FAF">
              <w:rPr>
                <w:bCs/>
              </w:rPr>
              <w:t>prezentul</w:t>
            </w:r>
            <w:proofErr w:type="spellEnd"/>
            <w:r w:rsidR="00CC3C14" w:rsidRPr="005F1FAF">
              <w:rPr>
                <w:bCs/>
              </w:rPr>
              <w:t xml:space="preserve"> </w:t>
            </w:r>
            <w:proofErr w:type="spellStart"/>
            <w:r w:rsidR="00CC3C14" w:rsidRPr="005F1FAF">
              <w:rPr>
                <w:bCs/>
              </w:rPr>
              <w:t>proiect</w:t>
            </w:r>
            <w:proofErr w:type="spellEnd"/>
            <w:r w:rsidR="00CC3C14" w:rsidRPr="005F1FAF">
              <w:rPr>
                <w:bCs/>
              </w:rPr>
              <w:t xml:space="preserve"> de act </w:t>
            </w:r>
            <w:proofErr w:type="spellStart"/>
            <w:r w:rsidR="00CC3C14" w:rsidRPr="005F1FAF">
              <w:rPr>
                <w:bCs/>
              </w:rPr>
              <w:t>normativ</w:t>
            </w:r>
            <w:proofErr w:type="spellEnd"/>
            <w:r w:rsidR="00CC3C14" w:rsidRPr="005F1FAF">
              <w:rPr>
                <w:bCs/>
              </w:rPr>
              <w:t xml:space="preserve"> </w:t>
            </w:r>
            <w:proofErr w:type="spellStart"/>
            <w:proofErr w:type="gramStart"/>
            <w:r w:rsidR="00CC3C14" w:rsidRPr="005F1FAF">
              <w:rPr>
                <w:bCs/>
              </w:rPr>
              <w:t>este</w:t>
            </w:r>
            <w:proofErr w:type="spellEnd"/>
            <w:proofErr w:type="gramEnd"/>
            <w:r w:rsidR="00CC3C14" w:rsidRPr="005F1FAF">
              <w:rPr>
                <w:bCs/>
              </w:rPr>
              <w:t xml:space="preserve"> </w:t>
            </w:r>
            <w:proofErr w:type="spellStart"/>
            <w:r w:rsidR="00CC3C14" w:rsidRPr="005F1FAF">
              <w:rPr>
                <w:bCs/>
              </w:rPr>
              <w:t>necesar</w:t>
            </w:r>
            <w:proofErr w:type="spellEnd"/>
            <w:r w:rsidR="00CC3C14" w:rsidRPr="005F1FAF">
              <w:rPr>
                <w:bCs/>
              </w:rPr>
              <w:t xml:space="preserve"> a se </w:t>
            </w:r>
            <w:proofErr w:type="spellStart"/>
            <w:r w:rsidR="00CC3C14" w:rsidRPr="005F1FAF">
              <w:rPr>
                <w:bCs/>
              </w:rPr>
              <w:t>declanșa</w:t>
            </w:r>
            <w:proofErr w:type="spellEnd"/>
            <w:r w:rsidR="00CC3C14" w:rsidRPr="005F1FAF">
              <w:rPr>
                <w:bCs/>
              </w:rPr>
              <w:t xml:space="preserve"> </w:t>
            </w:r>
            <w:proofErr w:type="spellStart"/>
            <w:r w:rsidR="00CC3C14" w:rsidRPr="005F1FAF">
              <w:rPr>
                <w:bCs/>
              </w:rPr>
              <w:t>procedura</w:t>
            </w:r>
            <w:proofErr w:type="spellEnd"/>
            <w:r w:rsidR="00CC3C14" w:rsidRPr="005F1FAF">
              <w:rPr>
                <w:bCs/>
              </w:rPr>
              <w:t xml:space="preserve"> de </w:t>
            </w:r>
            <w:proofErr w:type="spellStart"/>
            <w:r w:rsidR="00CC3C14" w:rsidRPr="005F1FAF">
              <w:rPr>
                <w:bCs/>
              </w:rPr>
              <w:t>expropriere</w:t>
            </w:r>
            <w:proofErr w:type="spellEnd"/>
            <w:r w:rsidR="00CC3C14" w:rsidRPr="005F1FAF">
              <w:rPr>
                <w:bCs/>
              </w:rPr>
              <w:t xml:space="preserve"> </w:t>
            </w:r>
            <w:proofErr w:type="spellStart"/>
            <w:r w:rsidR="00CC3C14" w:rsidRPr="005F1FAF">
              <w:rPr>
                <w:bCs/>
              </w:rPr>
              <w:t>și</w:t>
            </w:r>
            <w:proofErr w:type="spellEnd"/>
            <w:r w:rsidR="00CC3C14" w:rsidRPr="005F1FAF">
              <w:rPr>
                <w:bCs/>
              </w:rPr>
              <w:t xml:space="preserve"> </w:t>
            </w:r>
            <w:proofErr w:type="spellStart"/>
            <w:r w:rsidR="00CC3C14" w:rsidRPr="005F1FAF">
              <w:rPr>
                <w:bCs/>
              </w:rPr>
              <w:t>pentru</w:t>
            </w:r>
            <w:proofErr w:type="spellEnd"/>
            <w:r w:rsidR="00CC3C14" w:rsidRPr="005F1FAF">
              <w:rPr>
                <w:bCs/>
              </w:rPr>
              <w:t xml:space="preserve"> </w:t>
            </w:r>
            <w:proofErr w:type="spellStart"/>
            <w:r w:rsidR="00CC3C14" w:rsidRPr="005F1FAF">
              <w:rPr>
                <w:bCs/>
              </w:rPr>
              <w:t>aceaste</w:t>
            </w:r>
            <w:proofErr w:type="spellEnd"/>
            <w:r w:rsidR="00CC3C14" w:rsidRPr="005F1FAF">
              <w:rPr>
                <w:bCs/>
              </w:rPr>
              <w:t xml:space="preserve"> </w:t>
            </w:r>
            <w:proofErr w:type="spellStart"/>
            <w:r w:rsidR="00CC3C14" w:rsidRPr="005F1FAF">
              <w:rPr>
                <w:bCs/>
              </w:rPr>
              <w:t>construcții</w:t>
            </w:r>
            <w:proofErr w:type="spellEnd"/>
            <w:r w:rsidR="00CC3C14" w:rsidRPr="005F1FAF">
              <w:rPr>
                <w:bCs/>
              </w:rPr>
              <w:t xml:space="preserve"> </w:t>
            </w:r>
            <w:proofErr w:type="spellStart"/>
            <w:r w:rsidR="00CC3C14" w:rsidRPr="005F1FAF">
              <w:rPr>
                <w:bCs/>
              </w:rPr>
              <w:t>nou</w:t>
            </w:r>
            <w:proofErr w:type="spellEnd"/>
            <w:r w:rsidR="00CC3C14" w:rsidRPr="005F1FAF">
              <w:rPr>
                <w:bCs/>
              </w:rPr>
              <w:t xml:space="preserve"> </w:t>
            </w:r>
            <w:proofErr w:type="spellStart"/>
            <w:r w:rsidR="00CC3C14" w:rsidRPr="005F1FAF">
              <w:rPr>
                <w:bCs/>
              </w:rPr>
              <w:t>identificate</w:t>
            </w:r>
            <w:proofErr w:type="spellEnd"/>
            <w:r w:rsidR="00CC3C14" w:rsidRPr="005F1FAF">
              <w:rPr>
                <w:bCs/>
              </w:rPr>
              <w:t xml:space="preserve">, </w:t>
            </w:r>
            <w:proofErr w:type="spellStart"/>
            <w:r w:rsidR="00CC3C14" w:rsidRPr="005F1FAF">
              <w:rPr>
                <w:bCs/>
              </w:rPr>
              <w:t>în</w:t>
            </w:r>
            <w:proofErr w:type="spellEnd"/>
            <w:r w:rsidR="00CC3C14" w:rsidRPr="005F1FAF">
              <w:rPr>
                <w:bCs/>
              </w:rPr>
              <w:t xml:space="preserve"> </w:t>
            </w:r>
            <w:proofErr w:type="spellStart"/>
            <w:r w:rsidR="00CC3C14" w:rsidRPr="005F1FAF">
              <w:rPr>
                <w:bCs/>
              </w:rPr>
              <w:t>conformitate</w:t>
            </w:r>
            <w:proofErr w:type="spellEnd"/>
            <w:r w:rsidR="00CC3C14" w:rsidRPr="005F1FAF">
              <w:rPr>
                <w:bCs/>
              </w:rPr>
              <w:t xml:space="preserve"> cu </w:t>
            </w:r>
            <w:proofErr w:type="spellStart"/>
            <w:r w:rsidR="00CC3C14" w:rsidRPr="005F1FAF">
              <w:rPr>
                <w:bCs/>
              </w:rPr>
              <w:t>anexa</w:t>
            </w:r>
            <w:proofErr w:type="spellEnd"/>
            <w:r w:rsidR="00CC3C14" w:rsidRPr="005F1FAF">
              <w:rPr>
                <w:bCs/>
              </w:rPr>
              <w:t xml:space="preserve"> la </w:t>
            </w:r>
            <w:proofErr w:type="spellStart"/>
            <w:r w:rsidR="00CC3C14" w:rsidRPr="005F1FAF">
              <w:rPr>
                <w:bCs/>
              </w:rPr>
              <w:t>prezentul</w:t>
            </w:r>
            <w:proofErr w:type="spellEnd"/>
            <w:r w:rsidR="00CC3C14" w:rsidRPr="005F1FAF">
              <w:rPr>
                <w:bCs/>
              </w:rPr>
              <w:t xml:space="preserve"> </w:t>
            </w:r>
            <w:proofErr w:type="spellStart"/>
            <w:r w:rsidR="00CC3C14" w:rsidRPr="005F1FAF">
              <w:rPr>
                <w:bCs/>
              </w:rPr>
              <w:t>proiect</w:t>
            </w:r>
            <w:proofErr w:type="spellEnd"/>
            <w:r w:rsidR="00CC3C14" w:rsidRPr="005F1FAF">
              <w:rPr>
                <w:bCs/>
              </w:rPr>
              <w:t xml:space="preserve">. </w:t>
            </w:r>
          </w:p>
          <w:p w:rsidR="00CC3C14" w:rsidRPr="005F1FAF" w:rsidRDefault="00CC3C14" w:rsidP="00276690">
            <w:pPr>
              <w:pStyle w:val="ListParagraph"/>
              <w:shd w:val="clear" w:color="auto" w:fill="FFFFFF"/>
              <w:tabs>
                <w:tab w:val="left" w:pos="614"/>
                <w:tab w:val="left" w:pos="1207"/>
              </w:tabs>
              <w:ind w:left="0"/>
              <w:jc w:val="both"/>
            </w:pPr>
            <w:r w:rsidRPr="005F1FAF">
              <w:t xml:space="preserve">Suma </w:t>
            </w:r>
            <w:proofErr w:type="spellStart"/>
            <w:r w:rsidRPr="005F1FAF">
              <w:t>aferentă</w:t>
            </w:r>
            <w:proofErr w:type="spellEnd"/>
            <w:r w:rsidRPr="005F1FAF">
              <w:t xml:space="preserve"> </w:t>
            </w:r>
            <w:proofErr w:type="spellStart"/>
            <w:r w:rsidRPr="005F1FAF">
              <w:t>despăgubirii</w:t>
            </w:r>
            <w:proofErr w:type="spellEnd"/>
            <w:r w:rsidRPr="005F1FAF">
              <w:t xml:space="preserve"> </w:t>
            </w:r>
            <w:proofErr w:type="spellStart"/>
            <w:r w:rsidRPr="005F1FAF">
              <w:t>pentru</w:t>
            </w:r>
            <w:proofErr w:type="spellEnd"/>
            <w:r w:rsidRPr="005F1FAF">
              <w:t xml:space="preserve"> </w:t>
            </w:r>
            <w:proofErr w:type="spellStart"/>
            <w:r w:rsidRPr="005F1FAF">
              <w:rPr>
                <w:bCs/>
              </w:rPr>
              <w:t>construcțiile</w:t>
            </w:r>
            <w:proofErr w:type="spellEnd"/>
            <w:r w:rsidR="00D9337D" w:rsidRPr="005F1FAF">
              <w:t xml:space="preserve"> situate</w:t>
            </w:r>
            <w:r w:rsidRPr="005F1FAF">
              <w:t xml:space="preserve"> </w:t>
            </w:r>
            <w:proofErr w:type="spellStart"/>
            <w:r w:rsidR="00D9337D" w:rsidRPr="005F1FAF">
              <w:rPr>
                <w:bCs/>
              </w:rPr>
              <w:t>pe</w:t>
            </w:r>
            <w:proofErr w:type="spellEnd"/>
            <w:r w:rsidR="00D9337D" w:rsidRPr="005F1FAF">
              <w:rPr>
                <w:bCs/>
              </w:rPr>
              <w:t xml:space="preserve"> </w:t>
            </w:r>
            <w:proofErr w:type="spellStart"/>
            <w:r w:rsidR="00D9337D" w:rsidRPr="005F1FAF">
              <w:rPr>
                <w:bCs/>
              </w:rPr>
              <w:t>terenurile</w:t>
            </w:r>
            <w:proofErr w:type="spellEnd"/>
            <w:r w:rsidRPr="005F1FAF">
              <w:rPr>
                <w:bCs/>
              </w:rPr>
              <w:t xml:space="preserve"> </w:t>
            </w:r>
            <w:proofErr w:type="spellStart"/>
            <w:r w:rsidRPr="005F1FAF">
              <w:rPr>
                <w:bCs/>
              </w:rPr>
              <w:t>deja</w:t>
            </w:r>
            <w:proofErr w:type="spellEnd"/>
            <w:r w:rsidRPr="005F1FAF">
              <w:rPr>
                <w:bCs/>
              </w:rPr>
              <w:t xml:space="preserve"> expropriat</w:t>
            </w:r>
            <w:r w:rsidR="00D9337D" w:rsidRPr="005F1FAF">
              <w:rPr>
                <w:bCs/>
              </w:rPr>
              <w:t>e</w:t>
            </w:r>
            <w:r w:rsidRPr="005F1FAF">
              <w:rPr>
                <w:bCs/>
              </w:rPr>
              <w:t>,</w:t>
            </w:r>
            <w:r w:rsidRPr="005F1FAF">
              <w:t xml:space="preserve"> </w:t>
            </w:r>
            <w:r w:rsidRPr="005F1FAF">
              <w:rPr>
                <w:bCs/>
              </w:rPr>
              <w:t xml:space="preserve">care la </w:t>
            </w:r>
            <w:proofErr w:type="spellStart"/>
            <w:r w:rsidRPr="005F1FAF">
              <w:rPr>
                <w:bCs/>
              </w:rPr>
              <w:t>momentul</w:t>
            </w:r>
            <w:proofErr w:type="spellEnd"/>
            <w:r w:rsidRPr="005F1FAF">
              <w:rPr>
                <w:bCs/>
              </w:rPr>
              <w:t xml:space="preserve"> </w:t>
            </w:r>
            <w:proofErr w:type="spellStart"/>
            <w:r w:rsidRPr="005F1FAF">
              <w:rPr>
                <w:bCs/>
              </w:rPr>
              <w:t>declanșării</w:t>
            </w:r>
            <w:proofErr w:type="spellEnd"/>
            <w:r w:rsidRPr="005F1FAF">
              <w:rPr>
                <w:bCs/>
              </w:rPr>
              <w:t xml:space="preserve"> </w:t>
            </w:r>
            <w:proofErr w:type="spellStart"/>
            <w:r w:rsidRPr="005F1FAF">
              <w:rPr>
                <w:bCs/>
              </w:rPr>
              <w:t>procedurii</w:t>
            </w:r>
            <w:proofErr w:type="spellEnd"/>
            <w:r w:rsidRPr="005F1FAF">
              <w:rPr>
                <w:bCs/>
              </w:rPr>
              <w:t xml:space="preserve"> de </w:t>
            </w:r>
            <w:proofErr w:type="spellStart"/>
            <w:r w:rsidRPr="005F1FAF">
              <w:rPr>
                <w:bCs/>
              </w:rPr>
              <w:t>expropriere</w:t>
            </w:r>
            <w:proofErr w:type="spellEnd"/>
            <w:r w:rsidRPr="005F1FAF">
              <w:rPr>
                <w:bCs/>
              </w:rPr>
              <w:t xml:space="preserve"> nu a</w:t>
            </w:r>
            <w:r w:rsidR="00D9337D" w:rsidRPr="005F1FAF">
              <w:rPr>
                <w:bCs/>
              </w:rPr>
              <w:t>u</w:t>
            </w:r>
            <w:r w:rsidRPr="005F1FAF">
              <w:rPr>
                <w:bCs/>
              </w:rPr>
              <w:t xml:space="preserve"> </w:t>
            </w:r>
            <w:proofErr w:type="spellStart"/>
            <w:r w:rsidRPr="005F1FAF">
              <w:rPr>
                <w:bCs/>
              </w:rPr>
              <w:t>fost</w:t>
            </w:r>
            <w:proofErr w:type="spellEnd"/>
            <w:r w:rsidRPr="005F1FAF">
              <w:rPr>
                <w:bCs/>
              </w:rPr>
              <w:t xml:space="preserve"> </w:t>
            </w:r>
            <w:proofErr w:type="spellStart"/>
            <w:r w:rsidRPr="005F1FAF">
              <w:rPr>
                <w:bCs/>
              </w:rPr>
              <w:t>identificat</w:t>
            </w:r>
            <w:r w:rsidR="00D9337D" w:rsidRPr="005F1FAF">
              <w:t>e</w:t>
            </w:r>
            <w:proofErr w:type="spellEnd"/>
            <w:r w:rsidRPr="005F1FAF">
              <w:rPr>
                <w:bCs/>
              </w:rPr>
              <w:t>,</w:t>
            </w:r>
            <w:r w:rsidRPr="005F1FAF">
              <w:t xml:space="preserve"> </w:t>
            </w:r>
            <w:proofErr w:type="spellStart"/>
            <w:r w:rsidRPr="005F1FAF">
              <w:t>este</w:t>
            </w:r>
            <w:proofErr w:type="spellEnd"/>
            <w:r w:rsidRPr="005F1FAF">
              <w:t xml:space="preserve"> de </w:t>
            </w:r>
            <w:r w:rsidRPr="005F1FAF">
              <w:rPr>
                <w:b/>
              </w:rPr>
              <w:t>38.745,84 lei</w:t>
            </w:r>
            <w:r w:rsidR="00874FCB" w:rsidRPr="005F1FAF">
              <w:rPr>
                <w:b/>
              </w:rPr>
              <w:t xml:space="preserve">, </w:t>
            </w:r>
            <w:proofErr w:type="spellStart"/>
            <w:r w:rsidR="00874FCB" w:rsidRPr="005F1FAF">
              <w:t>sumă</w:t>
            </w:r>
            <w:proofErr w:type="spellEnd"/>
            <w:r w:rsidR="00874FCB" w:rsidRPr="005F1FAF">
              <w:t xml:space="preserve"> care </w:t>
            </w:r>
            <w:proofErr w:type="spellStart"/>
            <w:r w:rsidR="00874FCB" w:rsidRPr="005F1FAF">
              <w:t>necesită</w:t>
            </w:r>
            <w:proofErr w:type="spellEnd"/>
            <w:r w:rsidR="00874FCB" w:rsidRPr="005F1FAF">
              <w:t xml:space="preserve"> a fi </w:t>
            </w:r>
            <w:proofErr w:type="spellStart"/>
            <w:r w:rsidR="00874FCB" w:rsidRPr="005F1FAF">
              <w:t>suplimentată</w:t>
            </w:r>
            <w:proofErr w:type="spellEnd"/>
            <w:r w:rsidR="00874FCB" w:rsidRPr="005F1FAF">
              <w:t xml:space="preserve"> </w:t>
            </w:r>
            <w:proofErr w:type="spellStart"/>
            <w:r w:rsidR="00874FCB" w:rsidRPr="005F1FAF">
              <w:t>prin</w:t>
            </w:r>
            <w:proofErr w:type="spellEnd"/>
            <w:r w:rsidR="00874FCB" w:rsidRPr="005F1FAF">
              <w:t xml:space="preserve"> </w:t>
            </w:r>
            <w:proofErr w:type="spellStart"/>
            <w:r w:rsidR="00874FCB" w:rsidRPr="005F1FAF">
              <w:t>prezentul</w:t>
            </w:r>
            <w:proofErr w:type="spellEnd"/>
            <w:r w:rsidR="00874FCB" w:rsidRPr="005F1FAF">
              <w:t xml:space="preserve"> </w:t>
            </w:r>
            <w:proofErr w:type="spellStart"/>
            <w:r w:rsidR="00874FCB" w:rsidRPr="005F1FAF">
              <w:t>proiect</w:t>
            </w:r>
            <w:proofErr w:type="spellEnd"/>
            <w:r w:rsidR="00874FCB" w:rsidRPr="005F1FAF">
              <w:t xml:space="preserve"> de act </w:t>
            </w:r>
            <w:proofErr w:type="spellStart"/>
            <w:r w:rsidR="00874FCB" w:rsidRPr="005F1FAF">
              <w:t>normativ</w:t>
            </w:r>
            <w:proofErr w:type="spellEnd"/>
            <w:r w:rsidRPr="005F1FAF">
              <w:t>.</w:t>
            </w:r>
          </w:p>
          <w:p w:rsidR="00CC3C14" w:rsidRPr="005F1FAF" w:rsidRDefault="00CC3C14" w:rsidP="00B0425D">
            <w:pPr>
              <w:shd w:val="clear" w:color="auto" w:fill="FFFFFF"/>
              <w:jc w:val="both"/>
              <w:rPr>
                <w:b/>
                <w:sz w:val="16"/>
                <w:szCs w:val="16"/>
              </w:rPr>
            </w:pPr>
          </w:p>
          <w:p w:rsidR="00707D36" w:rsidRPr="005F1FAF" w:rsidRDefault="008054B1" w:rsidP="00707D36">
            <w:pPr>
              <w:pStyle w:val="ListParagraph"/>
              <w:numPr>
                <w:ilvl w:val="0"/>
                <w:numId w:val="14"/>
              </w:numPr>
              <w:shd w:val="clear" w:color="auto" w:fill="FFFFFF"/>
              <w:ind w:left="-18" w:firstLine="90"/>
              <w:jc w:val="both"/>
              <w:rPr>
                <w:bCs/>
              </w:rPr>
            </w:pPr>
            <w:proofErr w:type="spellStart"/>
            <w:r w:rsidRPr="005F1FAF">
              <w:t>Urmare</w:t>
            </w:r>
            <w:proofErr w:type="spellEnd"/>
            <w:r w:rsidRPr="005F1FAF">
              <w:t xml:space="preserve"> </w:t>
            </w:r>
            <w:proofErr w:type="gramStart"/>
            <w:r w:rsidRPr="005F1FAF">
              <w:t>a</w:t>
            </w:r>
            <w:proofErr w:type="gramEnd"/>
            <w:r w:rsidRPr="005F1FAF">
              <w:t xml:space="preserve"> </w:t>
            </w:r>
            <w:proofErr w:type="spellStart"/>
            <w:r w:rsidRPr="005F1FAF">
              <w:t>întocmirii</w:t>
            </w:r>
            <w:proofErr w:type="spellEnd"/>
            <w:r w:rsidRPr="005F1FAF">
              <w:t xml:space="preserve"> </w:t>
            </w:r>
            <w:proofErr w:type="spellStart"/>
            <w:r w:rsidRPr="005F1FAF">
              <w:t>documentațiilor</w:t>
            </w:r>
            <w:proofErr w:type="spellEnd"/>
            <w:r w:rsidRPr="005F1FAF">
              <w:t xml:space="preserve"> </w:t>
            </w:r>
            <w:proofErr w:type="spellStart"/>
            <w:r w:rsidRPr="005F1FAF">
              <w:t>cadastrale</w:t>
            </w:r>
            <w:proofErr w:type="spellEnd"/>
            <w:r w:rsidRPr="005F1FAF">
              <w:t xml:space="preserve"> </w:t>
            </w:r>
            <w:proofErr w:type="spellStart"/>
            <w:r w:rsidRPr="005F1FAF">
              <w:t>individuale</w:t>
            </w:r>
            <w:proofErr w:type="spellEnd"/>
            <w:r w:rsidRPr="005F1FAF">
              <w:t xml:space="preserve">, la </w:t>
            </w:r>
            <w:proofErr w:type="spellStart"/>
            <w:r w:rsidRPr="005F1FAF">
              <w:rPr>
                <w:b/>
              </w:rPr>
              <w:t>pozițiile</w:t>
            </w:r>
            <w:proofErr w:type="spellEnd"/>
            <w:r w:rsidRPr="005F1FAF">
              <w:rPr>
                <w:b/>
              </w:rPr>
              <w:t xml:space="preserve"> </w:t>
            </w:r>
            <w:proofErr w:type="spellStart"/>
            <w:r w:rsidRPr="005F1FAF">
              <w:rPr>
                <w:b/>
              </w:rPr>
              <w:t>nr</w:t>
            </w:r>
            <w:proofErr w:type="spellEnd"/>
            <w:r w:rsidRPr="005F1FAF">
              <w:rPr>
                <w:b/>
              </w:rPr>
              <w:t xml:space="preserve">. </w:t>
            </w:r>
            <w:proofErr w:type="spellStart"/>
            <w:proofErr w:type="gramStart"/>
            <w:r w:rsidRPr="005F1FAF">
              <w:rPr>
                <w:b/>
              </w:rPr>
              <w:t>crt</w:t>
            </w:r>
            <w:proofErr w:type="spellEnd"/>
            <w:proofErr w:type="gramEnd"/>
            <w:r w:rsidRPr="005F1FAF">
              <w:rPr>
                <w:b/>
              </w:rPr>
              <w:t xml:space="preserve">. </w:t>
            </w:r>
            <w:r w:rsidR="00707D36" w:rsidRPr="005F1FAF">
              <w:rPr>
                <w:b/>
              </w:rPr>
              <w:t xml:space="preserve">77, 112, 120, 161, 179 </w:t>
            </w:r>
            <w:proofErr w:type="spellStart"/>
            <w:r w:rsidR="00707D36" w:rsidRPr="005F1FAF">
              <w:rPr>
                <w:b/>
              </w:rPr>
              <w:t>și</w:t>
            </w:r>
            <w:proofErr w:type="spellEnd"/>
            <w:r w:rsidR="00707D36" w:rsidRPr="005F1FAF">
              <w:rPr>
                <w:b/>
              </w:rPr>
              <w:t xml:space="preserve"> 208</w:t>
            </w:r>
            <w:r w:rsidR="008B6C9C" w:rsidRPr="005F1FAF">
              <w:t xml:space="preserve"> au </w:t>
            </w:r>
            <w:proofErr w:type="spellStart"/>
            <w:r w:rsidR="008B6C9C" w:rsidRPr="005F1FAF">
              <w:t>fost</w:t>
            </w:r>
            <w:proofErr w:type="spellEnd"/>
            <w:r w:rsidR="008B6C9C" w:rsidRPr="005F1FAF">
              <w:t xml:space="preserve"> </w:t>
            </w:r>
            <w:proofErr w:type="spellStart"/>
            <w:r w:rsidR="008B6C9C" w:rsidRPr="005F1FAF">
              <w:t>actualizați</w:t>
            </w:r>
            <w:proofErr w:type="spellEnd"/>
            <w:r w:rsidR="008B6C9C" w:rsidRPr="005F1FAF">
              <w:t xml:space="preserve"> </w:t>
            </w:r>
            <w:proofErr w:type="spellStart"/>
            <w:r w:rsidR="008B6C9C" w:rsidRPr="005F1FAF">
              <w:t>titularii</w:t>
            </w:r>
            <w:proofErr w:type="spellEnd"/>
            <w:r w:rsidR="00707D36" w:rsidRPr="005F1FAF">
              <w:t xml:space="preserve"> de </w:t>
            </w:r>
            <w:proofErr w:type="spellStart"/>
            <w:r w:rsidR="00707D36" w:rsidRPr="005F1FAF">
              <w:t>drepturi</w:t>
            </w:r>
            <w:proofErr w:type="spellEnd"/>
            <w:r w:rsidR="00707D36" w:rsidRPr="005F1FAF">
              <w:t xml:space="preserve"> </w:t>
            </w:r>
            <w:proofErr w:type="spellStart"/>
            <w:r w:rsidR="00707D36" w:rsidRPr="005F1FAF">
              <w:t>reale</w:t>
            </w:r>
            <w:proofErr w:type="spellEnd"/>
            <w:r w:rsidR="00707D36" w:rsidRPr="005F1FAF">
              <w:t xml:space="preserve"> </w:t>
            </w:r>
            <w:proofErr w:type="spellStart"/>
            <w:r w:rsidR="00707D36" w:rsidRPr="005F1FAF">
              <w:t>și</w:t>
            </w:r>
            <w:proofErr w:type="spellEnd"/>
            <w:r w:rsidR="00707D36" w:rsidRPr="005F1FAF">
              <w:t xml:space="preserve"> </w:t>
            </w:r>
            <w:proofErr w:type="spellStart"/>
            <w:r w:rsidR="00707D36" w:rsidRPr="005F1FAF">
              <w:t>numărele</w:t>
            </w:r>
            <w:proofErr w:type="spellEnd"/>
            <w:r w:rsidR="00707D36" w:rsidRPr="005F1FAF">
              <w:t xml:space="preserve"> </w:t>
            </w:r>
            <w:proofErr w:type="spellStart"/>
            <w:r w:rsidR="00707D36" w:rsidRPr="005F1FAF">
              <w:t>cadastrale</w:t>
            </w:r>
            <w:proofErr w:type="spellEnd"/>
            <w:r w:rsidR="00707D36" w:rsidRPr="005F1FAF">
              <w:t xml:space="preserve"> ale </w:t>
            </w:r>
            <w:proofErr w:type="spellStart"/>
            <w:r w:rsidR="00707D36" w:rsidRPr="005F1FAF">
              <w:t>imobilelor</w:t>
            </w:r>
            <w:proofErr w:type="spellEnd"/>
            <w:r w:rsidR="00707D36" w:rsidRPr="005F1FAF">
              <w:t xml:space="preserve"> </w:t>
            </w:r>
            <w:proofErr w:type="spellStart"/>
            <w:r w:rsidR="00707D36" w:rsidRPr="005F1FAF">
              <w:t>antemenționate</w:t>
            </w:r>
            <w:proofErr w:type="spellEnd"/>
            <w:r w:rsidR="00707D36" w:rsidRPr="005F1FAF">
              <w:t>.</w:t>
            </w:r>
          </w:p>
          <w:p w:rsidR="00707D36" w:rsidRPr="005F1FAF" w:rsidRDefault="00707D36" w:rsidP="00707D36">
            <w:pPr>
              <w:pStyle w:val="ListParagraph"/>
              <w:shd w:val="clear" w:color="auto" w:fill="FFFFFF"/>
              <w:ind w:left="72"/>
              <w:jc w:val="both"/>
              <w:rPr>
                <w:b/>
                <w:bCs/>
                <w:sz w:val="16"/>
                <w:szCs w:val="16"/>
              </w:rPr>
            </w:pPr>
          </w:p>
          <w:p w:rsidR="002450B7" w:rsidRPr="005F1FAF" w:rsidRDefault="002450B7" w:rsidP="00707D36">
            <w:pPr>
              <w:shd w:val="clear" w:color="auto" w:fill="FFFFFF"/>
              <w:ind w:left="-18"/>
              <w:jc w:val="both"/>
              <w:rPr>
                <w:b/>
                <w:bCs/>
              </w:rPr>
            </w:pPr>
            <w:r w:rsidRPr="005F1FAF">
              <w:rPr>
                <w:b/>
                <w:bCs/>
              </w:rPr>
              <w:t xml:space="preserve">         </w:t>
            </w:r>
            <w:r w:rsidRPr="005F1FAF">
              <w:rPr>
                <w:b/>
                <w:bCs/>
                <w:sz w:val="24"/>
              </w:rPr>
              <w:t>Astfel, pentru justa despăgubire a imobilelor a căror suprafață expropriată a suferit modificări față de cea înscrisă în anexa nr. 2 la Hotărârea Guvernului nr. 499/2010</w:t>
            </w:r>
            <w:r w:rsidR="00BD743F" w:rsidRPr="005F1FAF">
              <w:rPr>
                <w:b/>
                <w:bCs/>
                <w:sz w:val="24"/>
              </w:rPr>
              <w:t>,</w:t>
            </w:r>
            <w:r w:rsidRPr="005F1FAF">
              <w:rPr>
                <w:b/>
                <w:bCs/>
                <w:sz w:val="24"/>
              </w:rPr>
              <w:t xml:space="preserve"> cu modificările și completările ulterioare, raportat la suprafața care a reieșit din documentațiile cadastrale individuale și realizarea celui de-al doilea raport de evaluare întocmit în baza art. 11 alin. (7) din Legea nr. 255/2010, imobile identificate la punctul 1 de mai sus, este necesară suma de </w:t>
            </w:r>
            <w:r w:rsidR="00707411" w:rsidRPr="005F1FAF">
              <w:rPr>
                <w:b/>
                <w:sz w:val="24"/>
                <w:u w:val="single"/>
                <w:lang w:val="en-US"/>
              </w:rPr>
              <w:t>800.839,64</w:t>
            </w:r>
            <w:r w:rsidR="00707411" w:rsidRPr="005F1FAF">
              <w:rPr>
                <w:color w:val="000000"/>
                <w:sz w:val="24"/>
                <w:u w:val="single"/>
              </w:rPr>
              <w:t xml:space="preserve"> </w:t>
            </w:r>
            <w:r w:rsidR="00707411" w:rsidRPr="005F1FAF">
              <w:rPr>
                <w:b/>
                <w:sz w:val="24"/>
                <w:u w:val="single"/>
              </w:rPr>
              <w:t>lei</w:t>
            </w:r>
            <w:r w:rsidR="00707411" w:rsidRPr="005F1FAF">
              <w:rPr>
                <w:sz w:val="24"/>
              </w:rPr>
              <w:t>.</w:t>
            </w:r>
          </w:p>
          <w:p w:rsidR="004738F8" w:rsidRPr="005F1FAF" w:rsidRDefault="004738F8" w:rsidP="00B0425D">
            <w:pPr>
              <w:tabs>
                <w:tab w:val="left" w:pos="255"/>
              </w:tabs>
              <w:jc w:val="both"/>
              <w:rPr>
                <w:b/>
                <w:bCs/>
                <w:sz w:val="16"/>
                <w:szCs w:val="16"/>
              </w:rPr>
            </w:pPr>
          </w:p>
          <w:p w:rsidR="004738F8" w:rsidRPr="005F1FAF" w:rsidRDefault="004738F8" w:rsidP="00B0425D">
            <w:pPr>
              <w:pStyle w:val="ListParagraph"/>
              <w:ind w:left="0"/>
              <w:jc w:val="both"/>
              <w:rPr>
                <w:b/>
                <w:bCs/>
                <w:u w:val="single"/>
              </w:rPr>
            </w:pPr>
            <w:proofErr w:type="spellStart"/>
            <w:r w:rsidRPr="005F1FAF">
              <w:rPr>
                <w:b/>
                <w:bCs/>
              </w:rPr>
              <w:t>Pentru</w:t>
            </w:r>
            <w:proofErr w:type="spellEnd"/>
            <w:r w:rsidRPr="005F1FAF">
              <w:rPr>
                <w:b/>
                <w:bCs/>
              </w:rPr>
              <w:t xml:space="preserve"> </w:t>
            </w:r>
            <w:proofErr w:type="spellStart"/>
            <w:r w:rsidRPr="005F1FAF">
              <w:rPr>
                <w:b/>
                <w:bCs/>
              </w:rPr>
              <w:t>justa</w:t>
            </w:r>
            <w:proofErr w:type="spellEnd"/>
            <w:r w:rsidRPr="005F1FAF">
              <w:rPr>
                <w:b/>
                <w:bCs/>
              </w:rPr>
              <w:t xml:space="preserve"> </w:t>
            </w:r>
            <w:proofErr w:type="spellStart"/>
            <w:r w:rsidRPr="005F1FAF">
              <w:rPr>
                <w:b/>
                <w:bCs/>
              </w:rPr>
              <w:t>despăgubire</w:t>
            </w:r>
            <w:proofErr w:type="spellEnd"/>
            <w:r w:rsidRPr="005F1FAF">
              <w:rPr>
                <w:b/>
                <w:bCs/>
              </w:rPr>
              <w:t xml:space="preserve"> </w:t>
            </w:r>
            <w:proofErr w:type="gramStart"/>
            <w:r w:rsidRPr="005F1FAF">
              <w:rPr>
                <w:b/>
                <w:bCs/>
              </w:rPr>
              <w:t>a</w:t>
            </w:r>
            <w:proofErr w:type="gramEnd"/>
            <w:r w:rsidRPr="005F1FAF">
              <w:rPr>
                <w:b/>
                <w:bCs/>
              </w:rPr>
              <w:t xml:space="preserve"> </w:t>
            </w:r>
            <w:proofErr w:type="spellStart"/>
            <w:r w:rsidRPr="005F1FAF">
              <w:rPr>
                <w:b/>
                <w:bCs/>
              </w:rPr>
              <w:t>imobilelor</w:t>
            </w:r>
            <w:proofErr w:type="spellEnd"/>
            <w:r w:rsidRPr="005F1FAF">
              <w:rPr>
                <w:b/>
                <w:bCs/>
              </w:rPr>
              <w:t xml:space="preserve"> (</w:t>
            </w:r>
            <w:proofErr w:type="spellStart"/>
            <w:r w:rsidRPr="005F1FAF">
              <w:rPr>
                <w:b/>
                <w:bCs/>
              </w:rPr>
              <w:t>teren</w:t>
            </w:r>
            <w:proofErr w:type="spellEnd"/>
            <w:r w:rsidRPr="005F1FAF">
              <w:rPr>
                <w:b/>
                <w:bCs/>
              </w:rPr>
              <w:t xml:space="preserve"> cu </w:t>
            </w:r>
            <w:proofErr w:type="spellStart"/>
            <w:r w:rsidRPr="005F1FAF">
              <w:rPr>
                <w:b/>
                <w:bCs/>
              </w:rPr>
              <w:t>sau</w:t>
            </w:r>
            <w:proofErr w:type="spellEnd"/>
            <w:r w:rsidRPr="005F1FAF">
              <w:rPr>
                <w:b/>
                <w:bCs/>
              </w:rPr>
              <w:t xml:space="preserve"> </w:t>
            </w:r>
            <w:proofErr w:type="spellStart"/>
            <w:r w:rsidRPr="005F1FAF">
              <w:rPr>
                <w:b/>
                <w:bCs/>
              </w:rPr>
              <w:t>fără</w:t>
            </w:r>
            <w:proofErr w:type="spellEnd"/>
            <w:r w:rsidRPr="005F1FAF">
              <w:rPr>
                <w:b/>
                <w:bCs/>
              </w:rPr>
              <w:t xml:space="preserve"> </w:t>
            </w:r>
            <w:proofErr w:type="spellStart"/>
            <w:r w:rsidRPr="005F1FAF">
              <w:rPr>
                <w:b/>
                <w:bCs/>
              </w:rPr>
              <w:t>investiții</w:t>
            </w:r>
            <w:proofErr w:type="spellEnd"/>
            <w:r w:rsidRPr="005F1FAF">
              <w:rPr>
                <w:b/>
                <w:bCs/>
              </w:rPr>
              <w:t xml:space="preserve">) </w:t>
            </w:r>
            <w:proofErr w:type="spellStart"/>
            <w:r w:rsidRPr="005F1FAF">
              <w:rPr>
                <w:b/>
                <w:bCs/>
              </w:rPr>
              <w:t>nou</w:t>
            </w:r>
            <w:proofErr w:type="spellEnd"/>
            <w:r w:rsidRPr="005F1FAF">
              <w:rPr>
                <w:b/>
                <w:bCs/>
              </w:rPr>
              <w:t xml:space="preserve"> </w:t>
            </w:r>
            <w:proofErr w:type="spellStart"/>
            <w:r w:rsidRPr="005F1FAF">
              <w:rPr>
                <w:b/>
                <w:bCs/>
              </w:rPr>
              <w:t>identificate</w:t>
            </w:r>
            <w:proofErr w:type="spellEnd"/>
            <w:r w:rsidRPr="005F1FAF">
              <w:rPr>
                <w:b/>
                <w:bCs/>
              </w:rPr>
              <w:t xml:space="preserve"> </w:t>
            </w:r>
            <w:proofErr w:type="spellStart"/>
            <w:r w:rsidRPr="005F1FAF">
              <w:rPr>
                <w:b/>
                <w:bCs/>
              </w:rPr>
              <w:t>aflate</w:t>
            </w:r>
            <w:proofErr w:type="spellEnd"/>
            <w:r w:rsidRPr="005F1FAF">
              <w:rPr>
                <w:b/>
                <w:bCs/>
              </w:rPr>
              <w:t xml:space="preserve"> </w:t>
            </w:r>
            <w:proofErr w:type="spellStart"/>
            <w:r w:rsidRPr="005F1FAF">
              <w:rPr>
                <w:b/>
                <w:bCs/>
              </w:rPr>
              <w:t>în</w:t>
            </w:r>
            <w:proofErr w:type="spellEnd"/>
            <w:r w:rsidRPr="005F1FAF">
              <w:rPr>
                <w:b/>
                <w:bCs/>
              </w:rPr>
              <w:t xml:space="preserve"> </w:t>
            </w:r>
            <w:proofErr w:type="spellStart"/>
            <w:r w:rsidRPr="005F1FAF">
              <w:rPr>
                <w:b/>
                <w:bCs/>
              </w:rPr>
              <w:t>cadrul</w:t>
            </w:r>
            <w:proofErr w:type="spellEnd"/>
            <w:r w:rsidRPr="005F1FAF">
              <w:rPr>
                <w:b/>
                <w:bCs/>
              </w:rPr>
              <w:t xml:space="preserve"> </w:t>
            </w:r>
            <w:proofErr w:type="spellStart"/>
            <w:r w:rsidRPr="005F1FAF">
              <w:rPr>
                <w:b/>
                <w:bCs/>
              </w:rPr>
              <w:t>coridorului</w:t>
            </w:r>
            <w:proofErr w:type="spellEnd"/>
            <w:r w:rsidRPr="005F1FAF">
              <w:rPr>
                <w:b/>
                <w:bCs/>
              </w:rPr>
              <w:t xml:space="preserve"> de </w:t>
            </w:r>
            <w:proofErr w:type="spellStart"/>
            <w:r w:rsidRPr="005F1FAF">
              <w:rPr>
                <w:b/>
                <w:bCs/>
              </w:rPr>
              <w:t>expropriere</w:t>
            </w:r>
            <w:proofErr w:type="spellEnd"/>
            <w:r w:rsidRPr="005F1FAF">
              <w:rPr>
                <w:b/>
                <w:bCs/>
              </w:rPr>
              <w:t xml:space="preserve">, </w:t>
            </w:r>
            <w:proofErr w:type="spellStart"/>
            <w:r w:rsidRPr="005F1FAF">
              <w:rPr>
                <w:b/>
                <w:bCs/>
                <w:u w:val="single"/>
              </w:rPr>
              <w:t>identificate</w:t>
            </w:r>
            <w:proofErr w:type="spellEnd"/>
            <w:r w:rsidRPr="005F1FAF">
              <w:rPr>
                <w:b/>
                <w:bCs/>
                <w:u w:val="single"/>
              </w:rPr>
              <w:t xml:space="preserve"> la </w:t>
            </w:r>
            <w:proofErr w:type="spellStart"/>
            <w:r w:rsidRPr="005F1FAF">
              <w:rPr>
                <w:b/>
                <w:bCs/>
                <w:u w:val="single"/>
              </w:rPr>
              <w:t>punctul</w:t>
            </w:r>
            <w:proofErr w:type="spellEnd"/>
            <w:r w:rsidRPr="005F1FAF">
              <w:rPr>
                <w:b/>
                <w:bCs/>
                <w:u w:val="single"/>
              </w:rPr>
              <w:t xml:space="preserve"> 3</w:t>
            </w:r>
            <w:r w:rsidRPr="005F1FAF">
              <w:rPr>
                <w:b/>
                <w:bCs/>
              </w:rPr>
              <w:t xml:space="preserve">, </w:t>
            </w:r>
            <w:proofErr w:type="spellStart"/>
            <w:r w:rsidRPr="005F1FAF">
              <w:rPr>
                <w:b/>
                <w:bCs/>
              </w:rPr>
              <w:t>este</w:t>
            </w:r>
            <w:proofErr w:type="spellEnd"/>
            <w:r w:rsidRPr="005F1FAF">
              <w:rPr>
                <w:b/>
                <w:bCs/>
              </w:rPr>
              <w:t xml:space="preserve"> </w:t>
            </w:r>
            <w:proofErr w:type="spellStart"/>
            <w:r w:rsidRPr="005F1FAF">
              <w:rPr>
                <w:b/>
                <w:bCs/>
                <w:u w:val="single"/>
              </w:rPr>
              <w:t>necesară</w:t>
            </w:r>
            <w:proofErr w:type="spellEnd"/>
            <w:r w:rsidRPr="005F1FAF">
              <w:rPr>
                <w:b/>
                <w:bCs/>
                <w:u w:val="single"/>
              </w:rPr>
              <w:t xml:space="preserve"> </w:t>
            </w:r>
            <w:proofErr w:type="spellStart"/>
            <w:r w:rsidRPr="005F1FAF">
              <w:rPr>
                <w:b/>
                <w:bCs/>
                <w:u w:val="single"/>
              </w:rPr>
              <w:t>suma</w:t>
            </w:r>
            <w:proofErr w:type="spellEnd"/>
            <w:r w:rsidRPr="005F1FAF">
              <w:rPr>
                <w:b/>
                <w:bCs/>
                <w:u w:val="single"/>
              </w:rPr>
              <w:t xml:space="preserve"> de </w:t>
            </w:r>
            <w:r w:rsidRPr="005F1FAF">
              <w:rPr>
                <w:b/>
                <w:u w:val="single"/>
                <w:lang w:val="ro-RO"/>
              </w:rPr>
              <w:t>107.774,72 lei</w:t>
            </w:r>
            <w:r w:rsidRPr="005F1FAF">
              <w:rPr>
                <w:b/>
                <w:bCs/>
                <w:u w:val="single"/>
              </w:rPr>
              <w:t>.</w:t>
            </w:r>
          </w:p>
          <w:p w:rsidR="004738F8" w:rsidRPr="005F1FAF" w:rsidRDefault="004738F8" w:rsidP="00B0425D">
            <w:pPr>
              <w:tabs>
                <w:tab w:val="left" w:pos="255"/>
              </w:tabs>
              <w:jc w:val="both"/>
              <w:rPr>
                <w:b/>
                <w:bCs/>
                <w:sz w:val="16"/>
                <w:szCs w:val="16"/>
              </w:rPr>
            </w:pPr>
          </w:p>
          <w:p w:rsidR="004738F8" w:rsidRPr="005F1FAF" w:rsidRDefault="004738F8" w:rsidP="00B0425D">
            <w:pPr>
              <w:shd w:val="clear" w:color="auto" w:fill="FFFFFF"/>
              <w:jc w:val="both"/>
              <w:rPr>
                <w:b/>
                <w:bCs/>
                <w:sz w:val="24"/>
                <w:szCs w:val="24"/>
              </w:rPr>
            </w:pPr>
            <w:r w:rsidRPr="005F1FAF">
              <w:rPr>
                <w:b/>
                <w:bCs/>
                <w:sz w:val="24"/>
                <w:szCs w:val="24"/>
              </w:rPr>
              <w:t>Pentru justa despăgubire a construcțiilor nou identificate, prezentate la punctul 4 și care se află pe terenurile supuse procedurii de expropriere cuprinse în anexa nr. 2 la Hotărârea Guvernului nr. 499/2010</w:t>
            </w:r>
            <w:r w:rsidR="00BD743F" w:rsidRPr="005F1FAF">
              <w:rPr>
                <w:b/>
                <w:bCs/>
                <w:sz w:val="24"/>
                <w:szCs w:val="24"/>
              </w:rPr>
              <w:t>,</w:t>
            </w:r>
            <w:r w:rsidRPr="005F1FAF">
              <w:rPr>
                <w:b/>
                <w:bCs/>
                <w:sz w:val="24"/>
                <w:szCs w:val="24"/>
              </w:rPr>
              <w:t xml:space="preserve"> cu modificările și completările ulterioare,  de la</w:t>
            </w:r>
            <w:r w:rsidRPr="005F1FAF">
              <w:rPr>
                <w:bCs/>
                <w:sz w:val="24"/>
                <w:szCs w:val="24"/>
              </w:rPr>
              <w:t xml:space="preserve"> </w:t>
            </w:r>
            <w:r w:rsidRPr="005F1FAF">
              <w:rPr>
                <w:b/>
                <w:bCs/>
                <w:sz w:val="24"/>
                <w:szCs w:val="24"/>
              </w:rPr>
              <w:t xml:space="preserve">pozițiile nr. </w:t>
            </w:r>
            <w:proofErr w:type="spellStart"/>
            <w:r w:rsidRPr="005F1FAF">
              <w:rPr>
                <w:b/>
                <w:bCs/>
                <w:sz w:val="24"/>
                <w:szCs w:val="24"/>
              </w:rPr>
              <w:t>crt</w:t>
            </w:r>
            <w:proofErr w:type="spellEnd"/>
            <w:r w:rsidRPr="005F1FAF">
              <w:rPr>
                <w:b/>
                <w:bCs/>
                <w:sz w:val="24"/>
                <w:szCs w:val="24"/>
              </w:rPr>
              <w:t xml:space="preserve"> 3, 93 și 151, este necesară suma de </w:t>
            </w:r>
            <w:r w:rsidRPr="005F1FAF">
              <w:rPr>
                <w:b/>
                <w:sz w:val="24"/>
                <w:szCs w:val="24"/>
                <w:u w:val="single"/>
              </w:rPr>
              <w:t>38.745,84 lei</w:t>
            </w:r>
            <w:r w:rsidRPr="005F1FAF">
              <w:rPr>
                <w:b/>
                <w:bCs/>
                <w:sz w:val="24"/>
                <w:szCs w:val="24"/>
              </w:rPr>
              <w:t xml:space="preserve">. </w:t>
            </w:r>
          </w:p>
          <w:p w:rsidR="004738F8" w:rsidRPr="005F1FAF" w:rsidRDefault="004738F8" w:rsidP="00B0425D">
            <w:pPr>
              <w:tabs>
                <w:tab w:val="left" w:pos="255"/>
              </w:tabs>
              <w:jc w:val="both"/>
              <w:rPr>
                <w:rStyle w:val="tpa1"/>
                <w:bCs/>
                <w:color w:val="FF0000"/>
                <w:sz w:val="16"/>
                <w:szCs w:val="16"/>
              </w:rPr>
            </w:pPr>
          </w:p>
          <w:p w:rsidR="003C0FB0" w:rsidRPr="005F1FAF" w:rsidRDefault="002450B7" w:rsidP="00B0425D">
            <w:pPr>
              <w:shd w:val="clear" w:color="auto" w:fill="FFFFFF"/>
              <w:jc w:val="both"/>
              <w:rPr>
                <w:bCs/>
                <w:sz w:val="24"/>
                <w:szCs w:val="24"/>
                <w:lang w:val="en-US"/>
              </w:rPr>
            </w:pPr>
            <w:r w:rsidRPr="005F1FAF">
              <w:rPr>
                <w:b/>
                <w:bCs/>
                <w:sz w:val="24"/>
                <w:szCs w:val="24"/>
                <w:u w:val="single"/>
              </w:rPr>
              <w:t>Astfel, pentru despăgubirea imobilelor prevăzute la punctele 1, 3 și 4 este necesar</w:t>
            </w:r>
            <w:r w:rsidR="009343EE" w:rsidRPr="005F1FAF">
              <w:rPr>
                <w:b/>
                <w:bCs/>
                <w:sz w:val="24"/>
                <w:szCs w:val="24"/>
                <w:u w:val="single"/>
              </w:rPr>
              <w:t>ă</w:t>
            </w:r>
            <w:r w:rsidRPr="005F1FAF">
              <w:rPr>
                <w:b/>
                <w:bCs/>
                <w:sz w:val="24"/>
                <w:szCs w:val="24"/>
                <w:u w:val="single"/>
              </w:rPr>
              <w:t xml:space="preserve"> suma</w:t>
            </w:r>
            <w:r w:rsidR="009343EE" w:rsidRPr="005F1FAF">
              <w:rPr>
                <w:b/>
                <w:bCs/>
                <w:sz w:val="24"/>
                <w:szCs w:val="24"/>
                <w:u w:val="single"/>
              </w:rPr>
              <w:t xml:space="preserve"> de</w:t>
            </w:r>
            <w:r w:rsidRPr="005F1FAF">
              <w:rPr>
                <w:b/>
                <w:bCs/>
                <w:sz w:val="24"/>
                <w:szCs w:val="24"/>
                <w:u w:val="single"/>
              </w:rPr>
              <w:t xml:space="preserve"> </w:t>
            </w:r>
            <w:r w:rsidR="009343EE" w:rsidRPr="005F1FAF">
              <w:rPr>
                <w:b/>
                <w:bCs/>
                <w:sz w:val="24"/>
                <w:szCs w:val="24"/>
                <w:u w:val="single"/>
              </w:rPr>
              <w:t>947.360,2</w:t>
            </w:r>
            <w:r w:rsidR="009A589F" w:rsidRPr="005F1FAF">
              <w:rPr>
                <w:b/>
                <w:bCs/>
                <w:sz w:val="24"/>
                <w:szCs w:val="24"/>
                <w:u w:val="single"/>
              </w:rPr>
              <w:t>0</w:t>
            </w:r>
            <w:r w:rsidR="004738F8" w:rsidRPr="005F1FAF">
              <w:rPr>
                <w:b/>
                <w:bCs/>
                <w:sz w:val="24"/>
                <w:szCs w:val="24"/>
                <w:u w:val="single"/>
              </w:rPr>
              <w:t xml:space="preserve"> lei</w:t>
            </w:r>
            <w:r w:rsidRPr="005F1FAF">
              <w:rPr>
                <w:b/>
                <w:bCs/>
                <w:sz w:val="24"/>
                <w:szCs w:val="24"/>
                <w:u w:val="single"/>
              </w:rPr>
              <w:t>,</w:t>
            </w:r>
            <w:r w:rsidRPr="005F1FAF">
              <w:rPr>
                <w:b/>
                <w:bCs/>
                <w:sz w:val="24"/>
                <w:szCs w:val="24"/>
              </w:rPr>
              <w:t xml:space="preserve">  </w:t>
            </w:r>
            <w:r w:rsidRPr="005F1FAF">
              <w:rPr>
                <w:sz w:val="24"/>
                <w:szCs w:val="24"/>
              </w:rPr>
              <w:t>ca urmare a realizării documentațiilor cadastrale și a celui de al doilea raport de evaluare</w:t>
            </w:r>
            <w:r w:rsidR="00620F56" w:rsidRPr="005F1FAF">
              <w:rPr>
                <w:sz w:val="24"/>
                <w:szCs w:val="24"/>
              </w:rPr>
              <w:t>/</w:t>
            </w:r>
            <w:r w:rsidR="00FA4C05" w:rsidRPr="005F1FAF">
              <w:rPr>
                <w:sz w:val="24"/>
                <w:szCs w:val="24"/>
              </w:rPr>
              <w:t>prima evaluare pentru construcțiile nou identificate</w:t>
            </w:r>
            <w:r w:rsidRPr="005F1FAF">
              <w:rPr>
                <w:sz w:val="24"/>
                <w:szCs w:val="24"/>
              </w:rPr>
              <w:t>, în conformitate cu prevederile art. 11 alin. (7)</w:t>
            </w:r>
            <w:r w:rsidR="00FA4C05" w:rsidRPr="005F1FAF">
              <w:rPr>
                <w:sz w:val="24"/>
                <w:szCs w:val="24"/>
              </w:rPr>
              <w:t>/art. 5 alin. (1)</w:t>
            </w:r>
            <w:r w:rsidRPr="005F1FAF">
              <w:rPr>
                <w:sz w:val="24"/>
                <w:szCs w:val="24"/>
              </w:rPr>
              <w:t xml:space="preserve"> din Legea nr. 255/2010</w:t>
            </w:r>
            <w:r w:rsidR="00BD743F" w:rsidRPr="005F1FAF">
              <w:rPr>
                <w:sz w:val="24"/>
                <w:szCs w:val="24"/>
              </w:rPr>
              <w:t>,</w:t>
            </w:r>
            <w:r w:rsidRPr="005F1FAF">
              <w:rPr>
                <w:sz w:val="24"/>
                <w:szCs w:val="24"/>
              </w:rPr>
              <w:t xml:space="preserve"> </w:t>
            </w:r>
            <w:r w:rsidRPr="005F1FAF">
              <w:rPr>
                <w:b/>
                <w:bCs/>
                <w:sz w:val="24"/>
                <w:szCs w:val="24"/>
                <w:u w:val="single"/>
              </w:rPr>
              <w:t xml:space="preserve">față de suma aprobată prin Hotărârea Guvernului nr. </w:t>
            </w:r>
            <w:r w:rsidR="004738F8" w:rsidRPr="005F1FAF">
              <w:rPr>
                <w:b/>
                <w:bCs/>
                <w:sz w:val="24"/>
                <w:szCs w:val="24"/>
                <w:u w:val="single"/>
              </w:rPr>
              <w:t>499/2010</w:t>
            </w:r>
            <w:r w:rsidR="00BD743F" w:rsidRPr="005F1FAF">
              <w:rPr>
                <w:b/>
                <w:bCs/>
                <w:sz w:val="24"/>
                <w:szCs w:val="24"/>
                <w:u w:val="single"/>
              </w:rPr>
              <w:t>,</w:t>
            </w:r>
            <w:r w:rsidR="004738F8" w:rsidRPr="005F1FAF">
              <w:rPr>
                <w:b/>
                <w:bCs/>
                <w:sz w:val="24"/>
                <w:szCs w:val="24"/>
                <w:u w:val="single"/>
              </w:rPr>
              <w:t xml:space="preserve"> cu modificările și completările ulterioare</w:t>
            </w:r>
            <w:bookmarkStart w:id="0" w:name="_Hlk70076701"/>
            <w:r w:rsidR="004738F8" w:rsidRPr="005F1FAF">
              <w:rPr>
                <w:b/>
                <w:bCs/>
                <w:sz w:val="24"/>
                <w:szCs w:val="24"/>
                <w:u w:val="single"/>
              </w:rPr>
              <w:t>.</w:t>
            </w:r>
            <w:r w:rsidR="008D6F21" w:rsidRPr="005F1FAF">
              <w:rPr>
                <w:bCs/>
                <w:sz w:val="24"/>
                <w:szCs w:val="24"/>
                <w:lang w:val="en-US"/>
              </w:rPr>
              <w:t xml:space="preserve">   </w:t>
            </w:r>
          </w:p>
          <w:bookmarkEnd w:id="0"/>
          <w:p w:rsidR="003A3ECA" w:rsidRPr="005F1FAF" w:rsidRDefault="004738F8" w:rsidP="00B0425D">
            <w:pPr>
              <w:autoSpaceDE w:val="0"/>
              <w:autoSpaceDN w:val="0"/>
              <w:adjustRightInd w:val="0"/>
              <w:jc w:val="both"/>
              <w:rPr>
                <w:bCs/>
                <w:sz w:val="24"/>
                <w:szCs w:val="24"/>
              </w:rPr>
            </w:pPr>
            <w:r w:rsidRPr="005F1FAF">
              <w:rPr>
                <w:sz w:val="24"/>
                <w:szCs w:val="24"/>
              </w:rPr>
              <w:t xml:space="preserve">      </w:t>
            </w:r>
            <w:r w:rsidR="007C21FF" w:rsidRPr="005F1FAF">
              <w:rPr>
                <w:sz w:val="24"/>
                <w:szCs w:val="24"/>
              </w:rPr>
              <w:t>Prin urmare, p</w:t>
            </w:r>
            <w:r w:rsidR="004E757A" w:rsidRPr="005F1FAF">
              <w:rPr>
                <w:sz w:val="24"/>
                <w:szCs w:val="24"/>
              </w:rPr>
              <w:t xml:space="preserve">rin prezentul act normativ se </w:t>
            </w:r>
            <w:proofErr w:type="spellStart"/>
            <w:r w:rsidR="004E757A" w:rsidRPr="005F1FAF">
              <w:rPr>
                <w:sz w:val="24"/>
                <w:szCs w:val="24"/>
              </w:rPr>
              <w:t>urmăreşte</w:t>
            </w:r>
            <w:proofErr w:type="spellEnd"/>
            <w:r w:rsidR="004E757A" w:rsidRPr="005F1FAF">
              <w:rPr>
                <w:sz w:val="24"/>
                <w:szCs w:val="24"/>
              </w:rPr>
              <w:t xml:space="preserve"> </w:t>
            </w:r>
            <w:bookmarkStart w:id="1" w:name="_Hlk70076896"/>
            <w:r w:rsidR="00BA00C4" w:rsidRPr="005F1FAF">
              <w:rPr>
                <w:sz w:val="24"/>
                <w:szCs w:val="24"/>
              </w:rPr>
              <w:t xml:space="preserve">suplimentarea sumei </w:t>
            </w:r>
            <w:proofErr w:type="spellStart"/>
            <w:r w:rsidR="00BA00C4" w:rsidRPr="005F1FAF">
              <w:rPr>
                <w:sz w:val="24"/>
                <w:szCs w:val="24"/>
              </w:rPr>
              <w:t>prevazută</w:t>
            </w:r>
            <w:proofErr w:type="spellEnd"/>
            <w:r w:rsidR="00BA00C4" w:rsidRPr="005F1FAF">
              <w:rPr>
                <w:sz w:val="24"/>
                <w:szCs w:val="24"/>
              </w:rPr>
              <w:t xml:space="preserve"> ca justă despăgubire î</w:t>
            </w:r>
            <w:r w:rsidR="007B6FC5" w:rsidRPr="005F1FAF">
              <w:rPr>
                <w:sz w:val="24"/>
                <w:szCs w:val="24"/>
              </w:rPr>
              <w:t xml:space="preserve">n </w:t>
            </w:r>
            <w:r w:rsidR="007B6FC5" w:rsidRPr="005F1FAF">
              <w:rPr>
                <w:bCs/>
                <w:sz w:val="24"/>
                <w:szCs w:val="24"/>
                <w:lang w:eastAsia="ar-SA"/>
              </w:rPr>
              <w:t xml:space="preserve">Hotărârea Guvernului nr. </w:t>
            </w:r>
            <w:bookmarkStart w:id="2" w:name="_Hlk70495613"/>
            <w:r w:rsidR="006D5227" w:rsidRPr="005F1FAF">
              <w:rPr>
                <w:bCs/>
                <w:sz w:val="24"/>
                <w:szCs w:val="24"/>
              </w:rPr>
              <w:t>499</w:t>
            </w:r>
            <w:r w:rsidR="00065449" w:rsidRPr="005F1FAF">
              <w:rPr>
                <w:bCs/>
                <w:sz w:val="24"/>
                <w:szCs w:val="24"/>
              </w:rPr>
              <w:t>/201</w:t>
            </w:r>
            <w:r w:rsidR="006D5227" w:rsidRPr="005F1FAF">
              <w:rPr>
                <w:bCs/>
                <w:sz w:val="24"/>
                <w:szCs w:val="24"/>
              </w:rPr>
              <w:t>0</w:t>
            </w:r>
            <w:r w:rsidR="007B6FC5" w:rsidRPr="005F1FAF">
              <w:rPr>
                <w:bCs/>
                <w:sz w:val="24"/>
                <w:szCs w:val="24"/>
              </w:rPr>
              <w:t xml:space="preserve"> </w:t>
            </w:r>
            <w:bookmarkStart w:id="3" w:name="_Hlk70070359"/>
            <w:proofErr w:type="spellStart"/>
            <w:r w:rsidR="000200AB" w:rsidRPr="005F1FAF">
              <w:rPr>
                <w:bCs/>
                <w:sz w:val="24"/>
                <w:szCs w:val="24"/>
                <w:lang w:val="en-US"/>
              </w:rPr>
              <w:t>privind</w:t>
            </w:r>
            <w:proofErr w:type="spellEnd"/>
            <w:r w:rsidR="000200AB" w:rsidRPr="005F1FAF">
              <w:rPr>
                <w:bCs/>
                <w:sz w:val="24"/>
                <w:szCs w:val="24"/>
                <w:lang w:val="en-US"/>
              </w:rPr>
              <w:t xml:space="preserve"> </w:t>
            </w:r>
            <w:proofErr w:type="spellStart"/>
            <w:r w:rsidR="000200AB" w:rsidRPr="005F1FAF">
              <w:rPr>
                <w:bCs/>
                <w:sz w:val="24"/>
                <w:szCs w:val="24"/>
                <w:lang w:val="en-US"/>
              </w:rPr>
              <w:t>declanşarea</w:t>
            </w:r>
            <w:proofErr w:type="spellEnd"/>
            <w:r w:rsidR="000200AB" w:rsidRPr="005F1FAF">
              <w:rPr>
                <w:bCs/>
                <w:sz w:val="24"/>
                <w:szCs w:val="24"/>
                <w:lang w:val="en-US"/>
              </w:rPr>
              <w:t xml:space="preserve"> </w:t>
            </w:r>
            <w:proofErr w:type="spellStart"/>
            <w:r w:rsidR="000200AB" w:rsidRPr="005F1FAF">
              <w:rPr>
                <w:bCs/>
                <w:sz w:val="24"/>
                <w:szCs w:val="24"/>
                <w:lang w:val="en-US"/>
              </w:rPr>
              <w:t>procedurilor</w:t>
            </w:r>
            <w:proofErr w:type="spellEnd"/>
            <w:r w:rsidR="000200AB" w:rsidRPr="005F1FAF">
              <w:rPr>
                <w:bCs/>
                <w:sz w:val="24"/>
                <w:szCs w:val="24"/>
                <w:lang w:val="en-US"/>
              </w:rPr>
              <w:t xml:space="preserve"> de </w:t>
            </w:r>
            <w:proofErr w:type="spellStart"/>
            <w:r w:rsidR="000200AB" w:rsidRPr="005F1FAF">
              <w:rPr>
                <w:bCs/>
                <w:sz w:val="24"/>
                <w:szCs w:val="24"/>
                <w:lang w:val="en-US"/>
              </w:rPr>
              <w:t>expropriere</w:t>
            </w:r>
            <w:proofErr w:type="spellEnd"/>
            <w:r w:rsidR="000200AB" w:rsidRPr="005F1FAF">
              <w:rPr>
                <w:bCs/>
                <w:sz w:val="24"/>
                <w:szCs w:val="24"/>
                <w:lang w:val="en-US"/>
              </w:rPr>
              <w:t xml:space="preserve"> a </w:t>
            </w:r>
            <w:proofErr w:type="spellStart"/>
            <w:r w:rsidR="000200AB" w:rsidRPr="005F1FAF">
              <w:rPr>
                <w:bCs/>
                <w:sz w:val="24"/>
                <w:szCs w:val="24"/>
                <w:lang w:val="en-US"/>
              </w:rPr>
              <w:t>imobilelor</w:t>
            </w:r>
            <w:proofErr w:type="spellEnd"/>
            <w:r w:rsidR="000200AB" w:rsidRPr="005F1FAF">
              <w:rPr>
                <w:bCs/>
                <w:sz w:val="24"/>
                <w:szCs w:val="24"/>
                <w:lang w:val="en-US"/>
              </w:rPr>
              <w:t xml:space="preserve"> </w:t>
            </w:r>
            <w:proofErr w:type="spellStart"/>
            <w:r w:rsidR="000200AB" w:rsidRPr="005F1FAF">
              <w:rPr>
                <w:bCs/>
                <w:sz w:val="24"/>
                <w:szCs w:val="24"/>
                <w:lang w:val="en-US"/>
              </w:rPr>
              <w:t>proprietate</w:t>
            </w:r>
            <w:proofErr w:type="spellEnd"/>
            <w:r w:rsidR="000200AB" w:rsidRPr="005F1FAF">
              <w:rPr>
                <w:bCs/>
                <w:sz w:val="24"/>
                <w:szCs w:val="24"/>
                <w:lang w:val="en-US"/>
              </w:rPr>
              <w:t xml:space="preserve"> </w:t>
            </w:r>
            <w:proofErr w:type="spellStart"/>
            <w:r w:rsidR="000200AB" w:rsidRPr="005F1FAF">
              <w:rPr>
                <w:bCs/>
                <w:sz w:val="24"/>
                <w:szCs w:val="24"/>
                <w:lang w:val="en-US"/>
              </w:rPr>
              <w:t>privată</w:t>
            </w:r>
            <w:proofErr w:type="spellEnd"/>
            <w:r w:rsidR="000200AB" w:rsidRPr="005F1FAF">
              <w:rPr>
                <w:bCs/>
                <w:sz w:val="24"/>
                <w:szCs w:val="24"/>
                <w:lang w:val="en-US"/>
              </w:rPr>
              <w:t xml:space="preserve"> situate </w:t>
            </w:r>
            <w:proofErr w:type="spellStart"/>
            <w:r w:rsidR="000200AB" w:rsidRPr="005F1FAF">
              <w:rPr>
                <w:bCs/>
                <w:sz w:val="24"/>
                <w:szCs w:val="24"/>
                <w:lang w:val="en-US"/>
              </w:rPr>
              <w:t>pe</w:t>
            </w:r>
            <w:proofErr w:type="spellEnd"/>
            <w:r w:rsidR="000200AB" w:rsidRPr="005F1FAF">
              <w:rPr>
                <w:bCs/>
                <w:sz w:val="24"/>
                <w:szCs w:val="24"/>
                <w:lang w:val="en-US"/>
              </w:rPr>
              <w:t xml:space="preserve"> </w:t>
            </w:r>
            <w:proofErr w:type="spellStart"/>
            <w:r w:rsidR="000200AB" w:rsidRPr="005F1FAF">
              <w:rPr>
                <w:bCs/>
                <w:sz w:val="24"/>
                <w:szCs w:val="24"/>
                <w:lang w:val="en-US"/>
              </w:rPr>
              <w:t>amplasamentul</w:t>
            </w:r>
            <w:proofErr w:type="spellEnd"/>
            <w:r w:rsidR="000200AB" w:rsidRPr="005F1FAF">
              <w:rPr>
                <w:bCs/>
                <w:sz w:val="24"/>
                <w:szCs w:val="24"/>
                <w:lang w:val="en-US"/>
              </w:rPr>
              <w:t xml:space="preserve"> </w:t>
            </w:r>
            <w:proofErr w:type="spellStart"/>
            <w:r w:rsidR="000200AB" w:rsidRPr="005F1FAF">
              <w:rPr>
                <w:bCs/>
                <w:sz w:val="24"/>
                <w:szCs w:val="24"/>
                <w:lang w:val="en-US"/>
              </w:rPr>
              <w:t>lucrării</w:t>
            </w:r>
            <w:proofErr w:type="spellEnd"/>
            <w:r w:rsidR="000200AB" w:rsidRPr="005F1FAF">
              <w:rPr>
                <w:bCs/>
                <w:sz w:val="24"/>
                <w:szCs w:val="24"/>
                <w:lang w:val="en-US"/>
              </w:rPr>
              <w:t xml:space="preserve"> de </w:t>
            </w:r>
            <w:proofErr w:type="spellStart"/>
            <w:r w:rsidR="000200AB" w:rsidRPr="005F1FAF">
              <w:rPr>
                <w:bCs/>
                <w:sz w:val="24"/>
                <w:szCs w:val="24"/>
                <w:lang w:val="en-US"/>
              </w:rPr>
              <w:t>utilitate</w:t>
            </w:r>
            <w:proofErr w:type="spellEnd"/>
            <w:r w:rsidR="000200AB" w:rsidRPr="005F1FAF">
              <w:rPr>
                <w:bCs/>
                <w:sz w:val="24"/>
                <w:szCs w:val="24"/>
                <w:lang w:val="en-US"/>
              </w:rPr>
              <w:t xml:space="preserve"> </w:t>
            </w:r>
            <w:proofErr w:type="spellStart"/>
            <w:r w:rsidR="000200AB" w:rsidRPr="005F1FAF">
              <w:rPr>
                <w:bCs/>
                <w:sz w:val="24"/>
                <w:szCs w:val="24"/>
                <w:lang w:val="en-US"/>
              </w:rPr>
              <w:t>publică</w:t>
            </w:r>
            <w:proofErr w:type="spellEnd"/>
            <w:r w:rsidR="000200AB" w:rsidRPr="005F1FAF">
              <w:rPr>
                <w:bCs/>
                <w:sz w:val="24"/>
                <w:szCs w:val="24"/>
                <w:lang w:val="en-US"/>
              </w:rPr>
              <w:t xml:space="preserve"> </w:t>
            </w:r>
            <w:r w:rsidR="00442F65" w:rsidRPr="005F1FAF">
              <w:rPr>
                <w:bCs/>
                <w:sz w:val="24"/>
                <w:szCs w:val="24"/>
                <w:lang w:val="en-US"/>
              </w:rPr>
              <w:t>“</w:t>
            </w:r>
            <w:proofErr w:type="spellStart"/>
            <w:r w:rsidR="000200AB" w:rsidRPr="005F1FAF">
              <w:rPr>
                <w:bCs/>
                <w:sz w:val="24"/>
                <w:szCs w:val="24"/>
                <w:lang w:val="en-US"/>
              </w:rPr>
              <w:t>Lărgire</w:t>
            </w:r>
            <w:proofErr w:type="spellEnd"/>
            <w:r w:rsidR="000200AB" w:rsidRPr="005F1FAF">
              <w:rPr>
                <w:bCs/>
                <w:sz w:val="24"/>
                <w:szCs w:val="24"/>
                <w:lang w:val="en-US"/>
              </w:rPr>
              <w:t xml:space="preserve"> la 4 </w:t>
            </w:r>
            <w:proofErr w:type="spellStart"/>
            <w:r w:rsidR="000200AB" w:rsidRPr="005F1FAF">
              <w:rPr>
                <w:bCs/>
                <w:sz w:val="24"/>
                <w:szCs w:val="24"/>
                <w:lang w:val="en-US"/>
              </w:rPr>
              <w:t>benzi</w:t>
            </w:r>
            <w:proofErr w:type="spellEnd"/>
            <w:r w:rsidR="000200AB" w:rsidRPr="005F1FAF">
              <w:rPr>
                <w:bCs/>
                <w:sz w:val="24"/>
                <w:szCs w:val="24"/>
                <w:lang w:val="en-US"/>
              </w:rPr>
              <w:t xml:space="preserve"> - </w:t>
            </w:r>
            <w:proofErr w:type="spellStart"/>
            <w:r w:rsidR="000200AB" w:rsidRPr="005F1FAF">
              <w:rPr>
                <w:bCs/>
                <w:sz w:val="24"/>
                <w:szCs w:val="24"/>
                <w:lang w:val="en-US"/>
              </w:rPr>
              <w:t>Centura</w:t>
            </w:r>
            <w:proofErr w:type="spellEnd"/>
            <w:r w:rsidR="000200AB" w:rsidRPr="005F1FAF">
              <w:rPr>
                <w:bCs/>
                <w:sz w:val="24"/>
                <w:szCs w:val="24"/>
                <w:lang w:val="en-US"/>
              </w:rPr>
              <w:t xml:space="preserve"> </w:t>
            </w:r>
            <w:proofErr w:type="spellStart"/>
            <w:r w:rsidR="000200AB" w:rsidRPr="005F1FAF">
              <w:rPr>
                <w:bCs/>
                <w:sz w:val="24"/>
                <w:szCs w:val="24"/>
                <w:lang w:val="en-US"/>
              </w:rPr>
              <w:t>Bucureşti</w:t>
            </w:r>
            <w:proofErr w:type="spellEnd"/>
            <w:r w:rsidR="000200AB" w:rsidRPr="005F1FAF">
              <w:rPr>
                <w:bCs/>
                <w:sz w:val="24"/>
                <w:szCs w:val="24"/>
                <w:lang w:val="en-US"/>
              </w:rPr>
              <w:t xml:space="preserve"> </w:t>
            </w:r>
            <w:proofErr w:type="spellStart"/>
            <w:r w:rsidR="000200AB" w:rsidRPr="005F1FAF">
              <w:rPr>
                <w:bCs/>
                <w:sz w:val="24"/>
                <w:szCs w:val="24"/>
                <w:lang w:val="en-US"/>
              </w:rPr>
              <w:t>Sud</w:t>
            </w:r>
            <w:proofErr w:type="spellEnd"/>
            <w:r w:rsidR="000200AB" w:rsidRPr="005F1FAF">
              <w:rPr>
                <w:bCs/>
                <w:sz w:val="24"/>
                <w:szCs w:val="24"/>
                <w:lang w:val="en-US"/>
              </w:rPr>
              <w:t xml:space="preserve"> </w:t>
            </w:r>
            <w:proofErr w:type="spellStart"/>
            <w:r w:rsidR="000200AB" w:rsidRPr="005F1FAF">
              <w:rPr>
                <w:bCs/>
                <w:sz w:val="24"/>
                <w:szCs w:val="24"/>
                <w:lang w:val="en-US"/>
              </w:rPr>
              <w:t>între</w:t>
            </w:r>
            <w:proofErr w:type="spellEnd"/>
            <w:r w:rsidR="000200AB" w:rsidRPr="005F1FAF">
              <w:rPr>
                <w:bCs/>
                <w:sz w:val="24"/>
                <w:szCs w:val="24"/>
                <w:lang w:val="en-US"/>
              </w:rPr>
              <w:t xml:space="preserve"> A2 (km 23+600) </w:t>
            </w:r>
            <w:proofErr w:type="spellStart"/>
            <w:r w:rsidR="000200AB" w:rsidRPr="005F1FAF">
              <w:rPr>
                <w:bCs/>
                <w:sz w:val="24"/>
                <w:szCs w:val="24"/>
                <w:lang w:val="en-US"/>
              </w:rPr>
              <w:t>şi</w:t>
            </w:r>
            <w:proofErr w:type="spellEnd"/>
            <w:r w:rsidR="000200AB" w:rsidRPr="005F1FAF">
              <w:rPr>
                <w:bCs/>
                <w:sz w:val="24"/>
                <w:szCs w:val="24"/>
                <w:lang w:val="en-US"/>
              </w:rPr>
              <w:t xml:space="preserve"> A1 (km 55+520)</w:t>
            </w:r>
            <w:bookmarkEnd w:id="2"/>
            <w:r w:rsidR="00442F65" w:rsidRPr="005F1FAF">
              <w:rPr>
                <w:bCs/>
                <w:sz w:val="24"/>
                <w:szCs w:val="24"/>
                <w:lang w:val="en-US"/>
              </w:rPr>
              <w:t>”</w:t>
            </w:r>
            <w:r w:rsidR="00D8380D" w:rsidRPr="005F1FAF">
              <w:rPr>
                <w:bCs/>
                <w:sz w:val="24"/>
                <w:szCs w:val="24"/>
              </w:rPr>
              <w:t>,</w:t>
            </w:r>
            <w:r w:rsidR="007B6FC5" w:rsidRPr="005F1FAF">
              <w:rPr>
                <w:bCs/>
                <w:sz w:val="24"/>
                <w:szCs w:val="24"/>
              </w:rPr>
              <w:t xml:space="preserve"> </w:t>
            </w:r>
            <w:bookmarkEnd w:id="3"/>
            <w:r w:rsidR="00D8380D" w:rsidRPr="005F1FAF">
              <w:rPr>
                <w:rStyle w:val="tpa1"/>
                <w:sz w:val="24"/>
                <w:szCs w:val="24"/>
              </w:rPr>
              <w:t xml:space="preserve">precum și modificarea </w:t>
            </w:r>
            <w:r w:rsidR="008376C2" w:rsidRPr="005F1FAF">
              <w:rPr>
                <w:rStyle w:val="tpa1"/>
                <w:sz w:val="24"/>
                <w:szCs w:val="24"/>
              </w:rPr>
              <w:t xml:space="preserve">și completarea </w:t>
            </w:r>
            <w:r w:rsidR="00D8380D" w:rsidRPr="005F1FAF">
              <w:rPr>
                <w:rStyle w:val="tpa1"/>
                <w:sz w:val="24"/>
                <w:szCs w:val="24"/>
              </w:rPr>
              <w:t xml:space="preserve">anexei nr. </w:t>
            </w:r>
            <w:r w:rsidR="00065449" w:rsidRPr="005F1FAF">
              <w:rPr>
                <w:rStyle w:val="tpa1"/>
                <w:sz w:val="24"/>
                <w:szCs w:val="24"/>
              </w:rPr>
              <w:t>2</w:t>
            </w:r>
            <w:r w:rsidR="00442F65" w:rsidRPr="005F1FAF">
              <w:rPr>
                <w:rStyle w:val="tpa1"/>
                <w:sz w:val="24"/>
                <w:szCs w:val="24"/>
              </w:rPr>
              <w:t xml:space="preserve"> la</w:t>
            </w:r>
            <w:r w:rsidR="00442F65" w:rsidRPr="005F1FAF">
              <w:rPr>
                <w:bCs/>
                <w:sz w:val="24"/>
                <w:szCs w:val="24"/>
                <w:lang w:eastAsia="ar-SA"/>
              </w:rPr>
              <w:t xml:space="preserve"> Hotărârea Guvernului nr. </w:t>
            </w:r>
            <w:r w:rsidR="00442F65" w:rsidRPr="005F1FAF">
              <w:rPr>
                <w:bCs/>
                <w:sz w:val="24"/>
                <w:szCs w:val="24"/>
              </w:rPr>
              <w:t>499/2010</w:t>
            </w:r>
            <w:r w:rsidRPr="005F1FAF">
              <w:rPr>
                <w:bCs/>
                <w:sz w:val="24"/>
                <w:szCs w:val="24"/>
              </w:rPr>
              <w:t xml:space="preserve">, astfel încât să </w:t>
            </w:r>
            <w:r w:rsidR="007C21FF" w:rsidRPr="005F1FAF">
              <w:rPr>
                <w:bCs/>
                <w:sz w:val="24"/>
                <w:szCs w:val="24"/>
              </w:rPr>
              <w:t>poată să se realizeze eliberarea justelor despăgubiri în conformitate cu datele reale care au rezultat după întocmirea documentațiilor cadastrale individuale.</w:t>
            </w:r>
            <w:bookmarkEnd w:id="1"/>
          </w:p>
        </w:tc>
      </w:tr>
      <w:tr w:rsidR="004E757A" w:rsidRPr="005F1FAF" w:rsidTr="00632702">
        <w:trPr>
          <w:trHeight w:val="4564"/>
        </w:trPr>
        <w:tc>
          <w:tcPr>
            <w:tcW w:w="1890" w:type="dxa"/>
            <w:tcBorders>
              <w:top w:val="single" w:sz="4" w:space="0" w:color="auto"/>
              <w:left w:val="single" w:sz="4" w:space="0" w:color="auto"/>
              <w:bottom w:val="single" w:sz="4" w:space="0" w:color="auto"/>
              <w:right w:val="single" w:sz="4" w:space="0" w:color="auto"/>
            </w:tcBorders>
            <w:hideMark/>
          </w:tcPr>
          <w:p w:rsidR="004E757A" w:rsidRPr="005F1FAF" w:rsidRDefault="004E757A" w:rsidP="009E618A">
            <w:pPr>
              <w:jc w:val="both"/>
              <w:rPr>
                <w:sz w:val="24"/>
                <w:szCs w:val="24"/>
              </w:rPr>
            </w:pPr>
            <w:r w:rsidRPr="005F1FAF">
              <w:rPr>
                <w:sz w:val="24"/>
                <w:szCs w:val="24"/>
              </w:rPr>
              <w:lastRenderedPageBreak/>
              <w:t>1</w:t>
            </w:r>
            <w:r w:rsidRPr="005F1FAF">
              <w:rPr>
                <w:sz w:val="24"/>
                <w:szCs w:val="24"/>
                <w:vertAlign w:val="superscript"/>
              </w:rPr>
              <w:t>1.</w:t>
            </w:r>
            <w:r w:rsidRPr="005F1FAF">
              <w:rPr>
                <w:sz w:val="24"/>
                <w:szCs w:val="24"/>
              </w:rPr>
              <w:t xml:space="preserve"> În cazul proiectelor de acte normative care transpun </w:t>
            </w:r>
            <w:proofErr w:type="spellStart"/>
            <w:r w:rsidRPr="005F1FAF">
              <w:rPr>
                <w:sz w:val="24"/>
                <w:szCs w:val="24"/>
              </w:rPr>
              <w:t>legislaţie</w:t>
            </w:r>
            <w:proofErr w:type="spellEnd"/>
            <w:r w:rsidRPr="005F1FAF">
              <w:rPr>
                <w:sz w:val="24"/>
                <w:szCs w:val="24"/>
              </w:rPr>
              <w:t xml:space="preserve"> comunitară sau creează cadrul pentru aplicarea directă a acesteia, se vor specifica doar actele comunitare în cauză, </w:t>
            </w:r>
            <w:proofErr w:type="spellStart"/>
            <w:r w:rsidRPr="005F1FAF">
              <w:rPr>
                <w:sz w:val="24"/>
                <w:szCs w:val="24"/>
              </w:rPr>
              <w:t>însoţite</w:t>
            </w:r>
            <w:proofErr w:type="spellEnd"/>
            <w:r w:rsidRPr="005F1FAF">
              <w:rPr>
                <w:sz w:val="24"/>
                <w:szCs w:val="24"/>
              </w:rPr>
              <w:t xml:space="preserve"> de elementele de identificare ale acestora</w:t>
            </w:r>
          </w:p>
        </w:tc>
        <w:tc>
          <w:tcPr>
            <w:tcW w:w="7830" w:type="dxa"/>
            <w:tcBorders>
              <w:top w:val="single" w:sz="4" w:space="0" w:color="auto"/>
              <w:left w:val="single" w:sz="4" w:space="0" w:color="auto"/>
              <w:bottom w:val="single" w:sz="4" w:space="0" w:color="auto"/>
              <w:right w:val="single" w:sz="4" w:space="0" w:color="auto"/>
            </w:tcBorders>
          </w:tcPr>
          <w:p w:rsidR="004E757A" w:rsidRPr="005F1FAF" w:rsidRDefault="004E757A" w:rsidP="00B0425D">
            <w:pPr>
              <w:rPr>
                <w:sz w:val="24"/>
                <w:szCs w:val="24"/>
              </w:rPr>
            </w:pPr>
            <w:r w:rsidRPr="005F1FAF">
              <w:rPr>
                <w:sz w:val="24"/>
                <w:szCs w:val="24"/>
              </w:rPr>
              <w:t xml:space="preserve">     Prezentul act normativ nu se referă la acest domeniu.</w:t>
            </w:r>
          </w:p>
          <w:p w:rsidR="004E757A" w:rsidRPr="005F1FAF" w:rsidRDefault="004E757A" w:rsidP="00B0425D">
            <w:pPr>
              <w:tabs>
                <w:tab w:val="left" w:pos="1658"/>
              </w:tabs>
              <w:rPr>
                <w:sz w:val="24"/>
                <w:szCs w:val="24"/>
              </w:rPr>
            </w:pPr>
          </w:p>
        </w:tc>
      </w:tr>
      <w:tr w:rsidR="004E757A" w:rsidRPr="005F1FAF" w:rsidTr="00632702">
        <w:trPr>
          <w:trHeight w:val="890"/>
        </w:trPr>
        <w:tc>
          <w:tcPr>
            <w:tcW w:w="1890" w:type="dxa"/>
            <w:tcBorders>
              <w:top w:val="single" w:sz="4" w:space="0" w:color="auto"/>
              <w:left w:val="single" w:sz="4" w:space="0" w:color="auto"/>
              <w:bottom w:val="single" w:sz="4" w:space="0" w:color="auto"/>
              <w:right w:val="single" w:sz="4" w:space="0" w:color="auto"/>
            </w:tcBorders>
            <w:hideMark/>
          </w:tcPr>
          <w:p w:rsidR="004E757A" w:rsidRPr="005F1FAF" w:rsidRDefault="004E757A" w:rsidP="009E618A">
            <w:pPr>
              <w:rPr>
                <w:sz w:val="24"/>
                <w:szCs w:val="24"/>
              </w:rPr>
            </w:pPr>
            <w:r w:rsidRPr="005F1FAF">
              <w:rPr>
                <w:sz w:val="24"/>
                <w:szCs w:val="24"/>
              </w:rPr>
              <w:t>2.Schimbări preconizate</w:t>
            </w:r>
          </w:p>
        </w:tc>
        <w:tc>
          <w:tcPr>
            <w:tcW w:w="7830" w:type="dxa"/>
            <w:tcBorders>
              <w:top w:val="single" w:sz="4" w:space="0" w:color="auto"/>
              <w:left w:val="single" w:sz="4" w:space="0" w:color="auto"/>
              <w:bottom w:val="single" w:sz="4" w:space="0" w:color="auto"/>
              <w:right w:val="single" w:sz="4" w:space="0" w:color="auto"/>
            </w:tcBorders>
            <w:hideMark/>
          </w:tcPr>
          <w:p w:rsidR="004738F8" w:rsidRPr="005F1FAF" w:rsidRDefault="004738F8" w:rsidP="00B0425D">
            <w:pPr>
              <w:shd w:val="clear" w:color="auto" w:fill="FFFFFF"/>
              <w:jc w:val="both"/>
              <w:rPr>
                <w:sz w:val="24"/>
                <w:szCs w:val="24"/>
              </w:rPr>
            </w:pPr>
            <w:r w:rsidRPr="005F1FAF">
              <w:rPr>
                <w:sz w:val="24"/>
                <w:szCs w:val="24"/>
              </w:rPr>
              <w:t>Prin prezentul proiect de act normativ se propun următoarele:</w:t>
            </w:r>
          </w:p>
          <w:p w:rsidR="004738F8" w:rsidRPr="005F1FAF" w:rsidRDefault="004738F8" w:rsidP="00B0425D">
            <w:pPr>
              <w:shd w:val="clear" w:color="auto" w:fill="FFFFFF"/>
              <w:jc w:val="both"/>
              <w:rPr>
                <w:sz w:val="16"/>
                <w:szCs w:val="16"/>
              </w:rPr>
            </w:pPr>
          </w:p>
          <w:p w:rsidR="004738F8" w:rsidRPr="005F1FAF" w:rsidRDefault="004738F8" w:rsidP="00B0425D">
            <w:pPr>
              <w:pStyle w:val="ListParagraph"/>
              <w:numPr>
                <w:ilvl w:val="0"/>
                <w:numId w:val="18"/>
              </w:numPr>
              <w:tabs>
                <w:tab w:val="left" w:pos="610"/>
                <w:tab w:val="left" w:pos="880"/>
              </w:tabs>
              <w:autoSpaceDE w:val="0"/>
              <w:autoSpaceDN w:val="0"/>
              <w:adjustRightInd w:val="0"/>
              <w:ind w:left="0" w:firstLine="0"/>
              <w:contextualSpacing/>
              <w:jc w:val="both"/>
              <w:rPr>
                <w:bCs/>
              </w:rPr>
            </w:pPr>
            <w:proofErr w:type="spellStart"/>
            <w:r w:rsidRPr="005F1FAF">
              <w:rPr>
                <w:bCs/>
              </w:rPr>
              <w:t>Aprobarea</w:t>
            </w:r>
            <w:proofErr w:type="spellEnd"/>
            <w:r w:rsidRPr="005F1FAF">
              <w:rPr>
                <w:bCs/>
              </w:rPr>
              <w:t xml:space="preserve"> </w:t>
            </w:r>
            <w:proofErr w:type="spellStart"/>
            <w:r w:rsidRPr="005F1FAF">
              <w:rPr>
                <w:bCs/>
              </w:rPr>
              <w:t>suplimentării</w:t>
            </w:r>
            <w:proofErr w:type="spellEnd"/>
            <w:r w:rsidRPr="005F1FAF">
              <w:rPr>
                <w:bCs/>
              </w:rPr>
              <w:t xml:space="preserve"> </w:t>
            </w:r>
            <w:proofErr w:type="spellStart"/>
            <w:r w:rsidRPr="005F1FAF">
              <w:rPr>
                <w:bCs/>
              </w:rPr>
              <w:t>sumei</w:t>
            </w:r>
            <w:proofErr w:type="spellEnd"/>
            <w:r w:rsidRPr="005F1FAF">
              <w:rPr>
                <w:bCs/>
              </w:rPr>
              <w:t xml:space="preserve"> </w:t>
            </w:r>
            <w:proofErr w:type="spellStart"/>
            <w:r w:rsidRPr="005F1FAF">
              <w:rPr>
                <w:bCs/>
              </w:rPr>
              <w:t>aprobate</w:t>
            </w:r>
            <w:proofErr w:type="spellEnd"/>
            <w:r w:rsidRPr="005F1FAF">
              <w:rPr>
                <w:bCs/>
              </w:rPr>
              <w:t xml:space="preserve"> </w:t>
            </w:r>
            <w:proofErr w:type="spellStart"/>
            <w:r w:rsidRPr="005F1FAF">
              <w:rPr>
                <w:bCs/>
              </w:rPr>
              <w:t>prin</w:t>
            </w:r>
            <w:proofErr w:type="spellEnd"/>
            <w:r w:rsidRPr="005F1FAF">
              <w:rPr>
                <w:bCs/>
              </w:rPr>
              <w:t xml:space="preserve"> </w:t>
            </w:r>
            <w:proofErr w:type="spellStart"/>
            <w:r w:rsidRPr="005F1FAF">
              <w:rPr>
                <w:bCs/>
              </w:rPr>
              <w:t>Hotărârea</w:t>
            </w:r>
            <w:proofErr w:type="spellEnd"/>
            <w:r w:rsidRPr="005F1FAF">
              <w:rPr>
                <w:bCs/>
              </w:rPr>
              <w:t xml:space="preserve"> </w:t>
            </w:r>
            <w:proofErr w:type="spellStart"/>
            <w:r w:rsidRPr="005F1FAF">
              <w:rPr>
                <w:bCs/>
              </w:rPr>
              <w:t>Guvernului</w:t>
            </w:r>
            <w:proofErr w:type="spellEnd"/>
            <w:r w:rsidRPr="005F1FAF">
              <w:rPr>
                <w:bCs/>
              </w:rPr>
              <w:t xml:space="preserve"> </w:t>
            </w:r>
            <w:proofErr w:type="spellStart"/>
            <w:r w:rsidRPr="005F1FAF">
              <w:rPr>
                <w:bCs/>
              </w:rPr>
              <w:t>nr</w:t>
            </w:r>
            <w:proofErr w:type="spellEnd"/>
            <w:r w:rsidRPr="005F1FAF">
              <w:rPr>
                <w:bCs/>
              </w:rPr>
              <w:t xml:space="preserve">. </w:t>
            </w:r>
            <w:proofErr w:type="gramStart"/>
            <w:r w:rsidRPr="005F1FAF">
              <w:rPr>
                <w:bCs/>
              </w:rPr>
              <w:t>499/2010</w:t>
            </w:r>
            <w:proofErr w:type="gramEnd"/>
            <w:r w:rsidR="00CA1D2E" w:rsidRPr="005F1FAF">
              <w:rPr>
                <w:bCs/>
              </w:rPr>
              <w:t xml:space="preserve">, </w:t>
            </w:r>
            <w:r w:rsidRPr="005F1FAF">
              <w:rPr>
                <w:bCs/>
              </w:rPr>
              <w:t xml:space="preserve">cu </w:t>
            </w:r>
            <w:proofErr w:type="spellStart"/>
            <w:r w:rsidRPr="005F1FAF">
              <w:rPr>
                <w:bCs/>
              </w:rPr>
              <w:t>modificările</w:t>
            </w:r>
            <w:proofErr w:type="spellEnd"/>
            <w:r w:rsidRPr="005F1FAF">
              <w:rPr>
                <w:bCs/>
              </w:rPr>
              <w:t xml:space="preserve"> </w:t>
            </w:r>
            <w:proofErr w:type="spellStart"/>
            <w:r w:rsidRPr="005F1FAF">
              <w:rPr>
                <w:bCs/>
              </w:rPr>
              <w:t>și</w:t>
            </w:r>
            <w:proofErr w:type="spellEnd"/>
            <w:r w:rsidRPr="005F1FAF">
              <w:rPr>
                <w:bCs/>
              </w:rPr>
              <w:t xml:space="preserve"> </w:t>
            </w:r>
            <w:proofErr w:type="spellStart"/>
            <w:r w:rsidRPr="005F1FAF">
              <w:rPr>
                <w:bCs/>
              </w:rPr>
              <w:t>completările</w:t>
            </w:r>
            <w:proofErr w:type="spellEnd"/>
            <w:r w:rsidRPr="005F1FAF">
              <w:rPr>
                <w:bCs/>
              </w:rPr>
              <w:t xml:space="preserve"> </w:t>
            </w:r>
            <w:proofErr w:type="spellStart"/>
            <w:r w:rsidRPr="005F1FAF">
              <w:rPr>
                <w:bCs/>
              </w:rPr>
              <w:t>ulterioare</w:t>
            </w:r>
            <w:proofErr w:type="spellEnd"/>
            <w:r w:rsidRPr="005F1FAF">
              <w:rPr>
                <w:bCs/>
              </w:rPr>
              <w:t xml:space="preserve">, cu </w:t>
            </w:r>
            <w:proofErr w:type="spellStart"/>
            <w:r w:rsidRPr="005F1FAF">
              <w:rPr>
                <w:bCs/>
              </w:rPr>
              <w:t>suma</w:t>
            </w:r>
            <w:proofErr w:type="spellEnd"/>
            <w:r w:rsidRPr="005F1FAF">
              <w:rPr>
                <w:bCs/>
              </w:rPr>
              <w:t xml:space="preserve"> </w:t>
            </w:r>
            <w:proofErr w:type="spellStart"/>
            <w:r w:rsidRPr="005F1FAF">
              <w:rPr>
                <w:bCs/>
              </w:rPr>
              <w:t>totală</w:t>
            </w:r>
            <w:proofErr w:type="spellEnd"/>
            <w:r w:rsidRPr="005F1FAF">
              <w:rPr>
                <w:bCs/>
              </w:rPr>
              <w:t xml:space="preserve"> de </w:t>
            </w:r>
            <w:r w:rsidR="00707411" w:rsidRPr="005F1FAF">
              <w:rPr>
                <w:b/>
                <w:bCs/>
                <w:u w:val="single"/>
              </w:rPr>
              <w:t>947.360,20 lei.</w:t>
            </w:r>
          </w:p>
          <w:p w:rsidR="004738F8" w:rsidRPr="005F1FAF" w:rsidRDefault="004738F8" w:rsidP="00B0425D">
            <w:pPr>
              <w:shd w:val="clear" w:color="auto" w:fill="FFFFFF"/>
              <w:tabs>
                <w:tab w:val="left" w:pos="610"/>
                <w:tab w:val="left" w:pos="880"/>
              </w:tabs>
              <w:jc w:val="both"/>
              <w:rPr>
                <w:sz w:val="16"/>
                <w:szCs w:val="16"/>
              </w:rPr>
            </w:pPr>
          </w:p>
          <w:p w:rsidR="004738F8" w:rsidRPr="005F1FAF" w:rsidRDefault="004738F8" w:rsidP="00B0425D">
            <w:pPr>
              <w:pStyle w:val="ListParagraph"/>
              <w:numPr>
                <w:ilvl w:val="0"/>
                <w:numId w:val="18"/>
              </w:numPr>
              <w:shd w:val="clear" w:color="auto" w:fill="FFFFFF"/>
              <w:tabs>
                <w:tab w:val="left" w:pos="610"/>
                <w:tab w:val="left" w:pos="880"/>
              </w:tabs>
              <w:ind w:left="0" w:firstLine="0"/>
              <w:jc w:val="both"/>
            </w:pPr>
            <w:proofErr w:type="spellStart"/>
            <w:r w:rsidRPr="005F1FAF">
              <w:t>Aprobarea</w:t>
            </w:r>
            <w:proofErr w:type="spellEnd"/>
            <w:r w:rsidRPr="005F1FAF">
              <w:t xml:space="preserve"> </w:t>
            </w:r>
            <w:proofErr w:type="spellStart"/>
            <w:r w:rsidRPr="005F1FAF">
              <w:t>modificării</w:t>
            </w:r>
            <w:proofErr w:type="spellEnd"/>
            <w:r w:rsidRPr="005F1FAF">
              <w:t xml:space="preserve"> </w:t>
            </w:r>
            <w:proofErr w:type="spellStart"/>
            <w:r w:rsidRPr="005F1FAF">
              <w:t>și</w:t>
            </w:r>
            <w:proofErr w:type="spellEnd"/>
            <w:r w:rsidRPr="005F1FAF">
              <w:t xml:space="preserve"> </w:t>
            </w:r>
            <w:proofErr w:type="spellStart"/>
            <w:r w:rsidRPr="005F1FAF">
              <w:t>completării</w:t>
            </w:r>
            <w:proofErr w:type="spellEnd"/>
            <w:r w:rsidRPr="005F1FAF">
              <w:t xml:space="preserve"> </w:t>
            </w:r>
            <w:proofErr w:type="spellStart"/>
            <w:r w:rsidRPr="005F1FAF">
              <w:t>anexei</w:t>
            </w:r>
            <w:proofErr w:type="spellEnd"/>
            <w:r w:rsidRPr="005F1FAF">
              <w:t xml:space="preserve"> </w:t>
            </w:r>
            <w:proofErr w:type="spellStart"/>
            <w:r w:rsidRPr="005F1FAF">
              <w:t>nr</w:t>
            </w:r>
            <w:proofErr w:type="spellEnd"/>
            <w:r w:rsidRPr="005F1FAF">
              <w:t xml:space="preserve">. </w:t>
            </w:r>
            <w:proofErr w:type="gramStart"/>
            <w:r w:rsidRPr="005F1FAF">
              <w:t>2</w:t>
            </w:r>
            <w:proofErr w:type="gramEnd"/>
            <w:r w:rsidRPr="005F1FAF">
              <w:t xml:space="preserve"> la </w:t>
            </w:r>
            <w:proofErr w:type="spellStart"/>
            <w:r w:rsidRPr="005F1FAF">
              <w:t>Hotărârea</w:t>
            </w:r>
            <w:proofErr w:type="spellEnd"/>
            <w:r w:rsidRPr="005F1FAF">
              <w:t xml:space="preserve"> </w:t>
            </w:r>
            <w:proofErr w:type="spellStart"/>
            <w:r w:rsidRPr="005F1FAF">
              <w:t>Guvernului</w:t>
            </w:r>
            <w:proofErr w:type="spellEnd"/>
            <w:r w:rsidRPr="005F1FAF">
              <w:t xml:space="preserve"> </w:t>
            </w:r>
            <w:proofErr w:type="spellStart"/>
            <w:r w:rsidRPr="005F1FAF">
              <w:t>nr</w:t>
            </w:r>
            <w:proofErr w:type="spellEnd"/>
            <w:r w:rsidRPr="005F1FAF">
              <w:t>. 499/2010</w:t>
            </w:r>
            <w:r w:rsidR="00CA1D2E" w:rsidRPr="005F1FAF">
              <w:t>,</w:t>
            </w:r>
            <w:r w:rsidRPr="005F1FAF">
              <w:t xml:space="preserve"> cu </w:t>
            </w:r>
            <w:proofErr w:type="spellStart"/>
            <w:r w:rsidRPr="005F1FAF">
              <w:t>modificările</w:t>
            </w:r>
            <w:proofErr w:type="spellEnd"/>
            <w:r w:rsidRPr="005F1FAF">
              <w:t xml:space="preserve"> </w:t>
            </w:r>
            <w:proofErr w:type="spellStart"/>
            <w:r w:rsidRPr="005F1FAF">
              <w:t>și</w:t>
            </w:r>
            <w:proofErr w:type="spellEnd"/>
            <w:r w:rsidRPr="005F1FAF">
              <w:t xml:space="preserve"> </w:t>
            </w:r>
            <w:proofErr w:type="spellStart"/>
            <w:r w:rsidRPr="005F1FAF">
              <w:t>completările</w:t>
            </w:r>
            <w:proofErr w:type="spellEnd"/>
            <w:r w:rsidRPr="005F1FAF">
              <w:t xml:space="preserve"> </w:t>
            </w:r>
            <w:proofErr w:type="spellStart"/>
            <w:r w:rsidRPr="005F1FAF">
              <w:t>ulterioare</w:t>
            </w:r>
            <w:proofErr w:type="spellEnd"/>
            <w:r w:rsidRPr="005F1FAF">
              <w:t xml:space="preserve">, </w:t>
            </w:r>
            <w:proofErr w:type="spellStart"/>
            <w:r w:rsidRPr="005F1FAF">
              <w:t>în</w:t>
            </w:r>
            <w:proofErr w:type="spellEnd"/>
            <w:r w:rsidRPr="005F1FAF">
              <w:t xml:space="preserve"> </w:t>
            </w:r>
            <w:proofErr w:type="spellStart"/>
            <w:r w:rsidRPr="005F1FAF">
              <w:t>sensul</w:t>
            </w:r>
            <w:proofErr w:type="spellEnd"/>
            <w:r w:rsidRPr="005F1FAF">
              <w:t>:</w:t>
            </w:r>
          </w:p>
          <w:p w:rsidR="004738F8" w:rsidRPr="005F1FAF" w:rsidRDefault="004738F8" w:rsidP="00B0425D">
            <w:pPr>
              <w:shd w:val="clear" w:color="auto" w:fill="FFFFFF"/>
              <w:jc w:val="both"/>
              <w:rPr>
                <w:sz w:val="16"/>
                <w:szCs w:val="16"/>
              </w:rPr>
            </w:pPr>
          </w:p>
          <w:p w:rsidR="004738F8" w:rsidRPr="005F1FAF" w:rsidRDefault="004738F8" w:rsidP="00B0425D">
            <w:pPr>
              <w:pStyle w:val="ListParagraph"/>
              <w:numPr>
                <w:ilvl w:val="0"/>
                <w:numId w:val="16"/>
              </w:numPr>
              <w:shd w:val="clear" w:color="auto" w:fill="FFFFFF"/>
              <w:ind w:left="0" w:firstLine="0"/>
              <w:jc w:val="both"/>
            </w:pPr>
            <w:proofErr w:type="spellStart"/>
            <w:r w:rsidRPr="005F1FAF">
              <w:t>Pozițiile</w:t>
            </w:r>
            <w:proofErr w:type="spellEnd"/>
            <w:r w:rsidRPr="005F1FAF">
              <w:t xml:space="preserve"> </w:t>
            </w:r>
            <w:proofErr w:type="spellStart"/>
            <w:r w:rsidRPr="005F1FAF">
              <w:t>nr</w:t>
            </w:r>
            <w:proofErr w:type="spellEnd"/>
            <w:r w:rsidRPr="005F1FAF">
              <w:t xml:space="preserve">. </w:t>
            </w:r>
            <w:proofErr w:type="spellStart"/>
            <w:proofErr w:type="gramStart"/>
            <w:r w:rsidRPr="005F1FAF">
              <w:t>crt</w:t>
            </w:r>
            <w:proofErr w:type="spellEnd"/>
            <w:proofErr w:type="gramEnd"/>
            <w:r w:rsidRPr="005F1FAF">
              <w:t xml:space="preserve">. </w:t>
            </w:r>
            <w:r w:rsidRPr="005F1FAF">
              <w:rPr>
                <w:b/>
              </w:rPr>
              <w:t>1, 2, 3, 48, 50, 56</w:t>
            </w:r>
            <w:r w:rsidR="00707411" w:rsidRPr="005F1FAF">
              <w:rPr>
                <w:b/>
              </w:rPr>
              <w:t>, 67</w:t>
            </w:r>
            <w:r w:rsidRPr="005F1FAF">
              <w:rPr>
                <w:b/>
              </w:rPr>
              <w:t xml:space="preserve">, </w:t>
            </w:r>
            <w:r w:rsidR="00707D36" w:rsidRPr="005F1FAF">
              <w:rPr>
                <w:b/>
              </w:rPr>
              <w:t xml:space="preserve">77, </w:t>
            </w:r>
            <w:r w:rsidRPr="005F1FAF">
              <w:rPr>
                <w:b/>
              </w:rPr>
              <w:t xml:space="preserve">81, 88, 89, 91, 92, 93, 95, 97, 100, 101, 110, 111, </w:t>
            </w:r>
            <w:r w:rsidR="00707D36" w:rsidRPr="005F1FAF">
              <w:rPr>
                <w:b/>
              </w:rPr>
              <w:t xml:space="preserve">112, </w:t>
            </w:r>
            <w:r w:rsidRPr="005F1FAF">
              <w:rPr>
                <w:b/>
              </w:rPr>
              <w:t xml:space="preserve">114, 117, 118, </w:t>
            </w:r>
            <w:r w:rsidR="00707D36" w:rsidRPr="005F1FAF">
              <w:rPr>
                <w:b/>
              </w:rPr>
              <w:t xml:space="preserve">120, </w:t>
            </w:r>
            <w:r w:rsidRPr="005F1FAF">
              <w:rPr>
                <w:b/>
              </w:rPr>
              <w:t xml:space="preserve">125, 126, 132, 147, 149, 150, 151, 152, 155, 159, 160, </w:t>
            </w:r>
            <w:r w:rsidR="00707D36" w:rsidRPr="005F1FAF">
              <w:rPr>
                <w:b/>
              </w:rPr>
              <w:t xml:space="preserve"> 161, </w:t>
            </w:r>
            <w:r w:rsidRPr="005F1FAF">
              <w:rPr>
                <w:b/>
              </w:rPr>
              <w:t xml:space="preserve">162, </w:t>
            </w:r>
            <w:r w:rsidR="00707D36" w:rsidRPr="005F1FAF">
              <w:rPr>
                <w:b/>
              </w:rPr>
              <w:t xml:space="preserve">179, </w:t>
            </w:r>
            <w:r w:rsidRPr="005F1FAF">
              <w:rPr>
                <w:b/>
              </w:rPr>
              <w:t xml:space="preserve">188, 200, </w:t>
            </w:r>
            <w:r w:rsidR="00707D36" w:rsidRPr="005F1FAF">
              <w:rPr>
                <w:b/>
              </w:rPr>
              <w:t xml:space="preserve">208, </w:t>
            </w:r>
            <w:r w:rsidRPr="005F1FAF">
              <w:rPr>
                <w:b/>
              </w:rPr>
              <w:t xml:space="preserve">211, 223 </w:t>
            </w:r>
            <w:proofErr w:type="spellStart"/>
            <w:r w:rsidRPr="005F1FAF">
              <w:rPr>
                <w:b/>
              </w:rPr>
              <w:t>și</w:t>
            </w:r>
            <w:proofErr w:type="spellEnd"/>
            <w:r w:rsidRPr="005F1FAF">
              <w:rPr>
                <w:b/>
              </w:rPr>
              <w:t xml:space="preserve"> 237</w:t>
            </w:r>
            <w:r w:rsidR="00707D36" w:rsidRPr="005F1FAF">
              <w:rPr>
                <w:b/>
              </w:rPr>
              <w:t xml:space="preserve"> </w:t>
            </w:r>
            <w:r w:rsidRPr="005F1FAF">
              <w:t xml:space="preserve">se </w:t>
            </w:r>
            <w:proofErr w:type="spellStart"/>
            <w:r w:rsidRPr="005F1FAF">
              <w:t>modifică</w:t>
            </w:r>
            <w:proofErr w:type="spellEnd"/>
            <w:r w:rsidRPr="005F1FAF">
              <w:t xml:space="preserve"> </w:t>
            </w:r>
            <w:proofErr w:type="spellStart"/>
            <w:r w:rsidRPr="005F1FAF">
              <w:t>în</w:t>
            </w:r>
            <w:proofErr w:type="spellEnd"/>
            <w:r w:rsidRPr="005F1FAF">
              <w:t xml:space="preserve"> </w:t>
            </w:r>
            <w:proofErr w:type="spellStart"/>
            <w:r w:rsidRPr="005F1FAF">
              <w:t>sensul</w:t>
            </w:r>
            <w:proofErr w:type="spellEnd"/>
            <w:r w:rsidRPr="005F1FAF">
              <w:t xml:space="preserve"> </w:t>
            </w:r>
            <w:proofErr w:type="spellStart"/>
            <w:r w:rsidRPr="005F1FAF">
              <w:t>actualizării</w:t>
            </w:r>
            <w:proofErr w:type="spellEnd"/>
            <w:r w:rsidRPr="005F1FAF">
              <w:t xml:space="preserve">, </w:t>
            </w:r>
            <w:proofErr w:type="spellStart"/>
            <w:r w:rsidRPr="005F1FAF">
              <w:t>în</w:t>
            </w:r>
            <w:proofErr w:type="spellEnd"/>
            <w:r w:rsidRPr="005F1FAF">
              <w:t xml:space="preserve"> </w:t>
            </w:r>
            <w:proofErr w:type="spellStart"/>
            <w:r w:rsidRPr="005F1FAF">
              <w:t>condițiile</w:t>
            </w:r>
            <w:proofErr w:type="spellEnd"/>
            <w:r w:rsidRPr="005F1FAF">
              <w:t xml:space="preserve"> </w:t>
            </w:r>
            <w:proofErr w:type="spellStart"/>
            <w:r w:rsidRPr="005F1FAF">
              <w:t>legii</w:t>
            </w:r>
            <w:proofErr w:type="spellEnd"/>
            <w:r w:rsidRPr="005F1FAF">
              <w:t xml:space="preserve">, a </w:t>
            </w:r>
            <w:proofErr w:type="spellStart"/>
            <w:r w:rsidRPr="005F1FAF">
              <w:t>elementelor</w:t>
            </w:r>
            <w:proofErr w:type="spellEnd"/>
            <w:r w:rsidRPr="005F1FAF">
              <w:t xml:space="preserve"> de </w:t>
            </w:r>
            <w:proofErr w:type="spellStart"/>
            <w:r w:rsidRPr="005F1FAF">
              <w:t>identificare</w:t>
            </w:r>
            <w:proofErr w:type="spellEnd"/>
            <w:r w:rsidRPr="005F1FAF">
              <w:t xml:space="preserve"> ale </w:t>
            </w:r>
            <w:proofErr w:type="spellStart"/>
            <w:r w:rsidRPr="005F1FAF">
              <w:t>imobilelor</w:t>
            </w:r>
            <w:proofErr w:type="spellEnd"/>
            <w:r w:rsidRPr="005F1FAF">
              <w:t xml:space="preserve">, a </w:t>
            </w:r>
            <w:proofErr w:type="spellStart"/>
            <w:r w:rsidRPr="005F1FAF">
              <w:t>titularilor</w:t>
            </w:r>
            <w:proofErr w:type="spellEnd"/>
            <w:r w:rsidRPr="005F1FAF">
              <w:t xml:space="preserve"> de </w:t>
            </w:r>
            <w:proofErr w:type="spellStart"/>
            <w:r w:rsidRPr="005F1FAF">
              <w:t>drepturi</w:t>
            </w:r>
            <w:proofErr w:type="spellEnd"/>
            <w:r w:rsidRPr="005F1FAF">
              <w:t xml:space="preserve"> </w:t>
            </w:r>
            <w:proofErr w:type="spellStart"/>
            <w:r w:rsidRPr="005F1FAF">
              <w:t>reale</w:t>
            </w:r>
            <w:proofErr w:type="spellEnd"/>
            <w:r w:rsidRPr="005F1FAF">
              <w:t xml:space="preserve"> </w:t>
            </w:r>
            <w:proofErr w:type="spellStart"/>
            <w:r w:rsidRPr="005F1FAF">
              <w:t>și</w:t>
            </w:r>
            <w:proofErr w:type="spellEnd"/>
            <w:r w:rsidRPr="005F1FAF">
              <w:t xml:space="preserve"> a </w:t>
            </w:r>
            <w:proofErr w:type="spellStart"/>
            <w:r w:rsidRPr="005F1FAF">
              <w:t>sumelor</w:t>
            </w:r>
            <w:proofErr w:type="spellEnd"/>
            <w:r w:rsidRPr="005F1FAF">
              <w:t xml:space="preserve"> </w:t>
            </w:r>
            <w:proofErr w:type="spellStart"/>
            <w:r w:rsidRPr="005F1FAF">
              <w:t>individuale</w:t>
            </w:r>
            <w:proofErr w:type="spellEnd"/>
            <w:r w:rsidRPr="005F1FAF">
              <w:t xml:space="preserve"> </w:t>
            </w:r>
            <w:proofErr w:type="spellStart"/>
            <w:r w:rsidRPr="005F1FAF">
              <w:t>aferente</w:t>
            </w:r>
            <w:proofErr w:type="spellEnd"/>
            <w:r w:rsidRPr="005F1FAF">
              <w:t xml:space="preserve"> </w:t>
            </w:r>
            <w:proofErr w:type="spellStart"/>
            <w:r w:rsidRPr="005F1FAF">
              <w:t>despăgubirilor</w:t>
            </w:r>
            <w:proofErr w:type="spellEnd"/>
            <w:r w:rsidRPr="005F1FAF">
              <w:t xml:space="preserve">, </w:t>
            </w:r>
            <w:proofErr w:type="spellStart"/>
            <w:r w:rsidRPr="005F1FAF">
              <w:t>în</w:t>
            </w:r>
            <w:proofErr w:type="spellEnd"/>
            <w:r w:rsidRPr="005F1FAF">
              <w:t xml:space="preserve"> </w:t>
            </w:r>
            <w:proofErr w:type="spellStart"/>
            <w:r w:rsidRPr="005F1FAF">
              <w:t>conformitate</w:t>
            </w:r>
            <w:proofErr w:type="spellEnd"/>
            <w:r w:rsidRPr="005F1FAF">
              <w:t xml:space="preserve"> cu </w:t>
            </w:r>
            <w:proofErr w:type="spellStart"/>
            <w:r w:rsidRPr="005F1FAF">
              <w:t>anexa</w:t>
            </w:r>
            <w:proofErr w:type="spellEnd"/>
            <w:r w:rsidRPr="005F1FAF">
              <w:t xml:space="preserve"> la </w:t>
            </w:r>
            <w:proofErr w:type="spellStart"/>
            <w:r w:rsidRPr="005F1FAF">
              <w:t>prezenta</w:t>
            </w:r>
            <w:proofErr w:type="spellEnd"/>
            <w:r w:rsidRPr="005F1FAF">
              <w:t xml:space="preserve"> </w:t>
            </w:r>
            <w:proofErr w:type="spellStart"/>
            <w:r w:rsidRPr="005F1FAF">
              <w:t>hotărâre</w:t>
            </w:r>
            <w:proofErr w:type="spellEnd"/>
            <w:r w:rsidRPr="005F1FAF">
              <w:t>;</w:t>
            </w:r>
          </w:p>
          <w:p w:rsidR="00FB3E1B" w:rsidRPr="005F1FAF" w:rsidRDefault="00FB3E1B" w:rsidP="00FB3E1B">
            <w:pPr>
              <w:pStyle w:val="ListParagraph"/>
              <w:shd w:val="clear" w:color="auto" w:fill="FFFFFF"/>
              <w:ind w:left="0"/>
              <w:jc w:val="both"/>
              <w:rPr>
                <w:sz w:val="16"/>
                <w:szCs w:val="16"/>
              </w:rPr>
            </w:pPr>
          </w:p>
          <w:p w:rsidR="004738F8" w:rsidRPr="005F1FAF" w:rsidRDefault="004738F8" w:rsidP="00B0425D">
            <w:pPr>
              <w:pStyle w:val="ListParagraph"/>
              <w:numPr>
                <w:ilvl w:val="0"/>
                <w:numId w:val="16"/>
              </w:numPr>
              <w:shd w:val="clear" w:color="auto" w:fill="FFFFFF"/>
              <w:ind w:left="0" w:firstLine="0"/>
              <w:jc w:val="both"/>
            </w:pPr>
            <w:proofErr w:type="spellStart"/>
            <w:r w:rsidRPr="005F1FAF">
              <w:rPr>
                <w:b/>
              </w:rPr>
              <w:t>Eliminarea</w:t>
            </w:r>
            <w:proofErr w:type="spellEnd"/>
            <w:r w:rsidRPr="005F1FAF">
              <w:rPr>
                <w:b/>
              </w:rPr>
              <w:t xml:space="preserve"> </w:t>
            </w:r>
            <w:proofErr w:type="spellStart"/>
            <w:r w:rsidR="00412DA1" w:rsidRPr="005F1FAF">
              <w:rPr>
                <w:b/>
              </w:rPr>
              <w:t>poziției</w:t>
            </w:r>
            <w:proofErr w:type="spellEnd"/>
            <w:r w:rsidR="00412DA1" w:rsidRPr="005F1FAF">
              <w:rPr>
                <w:b/>
              </w:rPr>
              <w:t xml:space="preserve"> </w:t>
            </w:r>
            <w:proofErr w:type="spellStart"/>
            <w:r w:rsidR="00412DA1" w:rsidRPr="005F1FAF">
              <w:rPr>
                <w:b/>
              </w:rPr>
              <w:t>nr</w:t>
            </w:r>
            <w:proofErr w:type="spellEnd"/>
            <w:r w:rsidR="00412DA1" w:rsidRPr="005F1FAF">
              <w:rPr>
                <w:b/>
              </w:rPr>
              <w:t xml:space="preserve">. </w:t>
            </w:r>
            <w:proofErr w:type="spellStart"/>
            <w:proofErr w:type="gramStart"/>
            <w:r w:rsidR="00412DA1" w:rsidRPr="005F1FAF">
              <w:rPr>
                <w:b/>
              </w:rPr>
              <w:t>crt</w:t>
            </w:r>
            <w:proofErr w:type="spellEnd"/>
            <w:proofErr w:type="gramEnd"/>
            <w:r w:rsidR="00412DA1" w:rsidRPr="005F1FAF">
              <w:rPr>
                <w:b/>
              </w:rPr>
              <w:t xml:space="preserve">. </w:t>
            </w:r>
            <w:proofErr w:type="gramStart"/>
            <w:r w:rsidR="00412DA1" w:rsidRPr="005F1FAF">
              <w:rPr>
                <w:b/>
              </w:rPr>
              <w:t>49</w:t>
            </w:r>
            <w:proofErr w:type="gramEnd"/>
            <w:r w:rsidR="00412DA1" w:rsidRPr="005F1FAF">
              <w:rPr>
                <w:b/>
              </w:rPr>
              <w:t xml:space="preserve"> ca </w:t>
            </w:r>
            <w:proofErr w:type="spellStart"/>
            <w:r w:rsidR="00412DA1" w:rsidRPr="005F1FAF">
              <w:rPr>
                <w:b/>
              </w:rPr>
              <w:t>urmare</w:t>
            </w:r>
            <w:proofErr w:type="spellEnd"/>
            <w:r w:rsidR="00412DA1" w:rsidRPr="005F1FAF">
              <w:rPr>
                <w:b/>
              </w:rPr>
              <w:t xml:space="preserve"> a </w:t>
            </w:r>
            <w:proofErr w:type="spellStart"/>
            <w:r w:rsidR="00412DA1" w:rsidRPr="005F1FAF">
              <w:rPr>
                <w:b/>
              </w:rPr>
              <w:t>comasării</w:t>
            </w:r>
            <w:proofErr w:type="spellEnd"/>
            <w:r w:rsidR="00412DA1" w:rsidRPr="005F1FAF">
              <w:rPr>
                <w:b/>
              </w:rPr>
              <w:t xml:space="preserve"> cu </w:t>
            </w:r>
            <w:proofErr w:type="spellStart"/>
            <w:r w:rsidR="00412DA1" w:rsidRPr="005F1FAF">
              <w:rPr>
                <w:b/>
              </w:rPr>
              <w:t>poziția</w:t>
            </w:r>
            <w:proofErr w:type="spellEnd"/>
            <w:r w:rsidR="00412DA1" w:rsidRPr="005F1FAF">
              <w:rPr>
                <w:b/>
              </w:rPr>
              <w:t xml:space="preserve"> </w:t>
            </w:r>
            <w:proofErr w:type="spellStart"/>
            <w:r w:rsidR="00412DA1" w:rsidRPr="005F1FAF">
              <w:rPr>
                <w:b/>
              </w:rPr>
              <w:t>nr</w:t>
            </w:r>
            <w:proofErr w:type="spellEnd"/>
            <w:r w:rsidR="00412DA1" w:rsidRPr="005F1FAF">
              <w:rPr>
                <w:b/>
              </w:rPr>
              <w:t xml:space="preserve">. </w:t>
            </w:r>
            <w:proofErr w:type="spellStart"/>
            <w:proofErr w:type="gramStart"/>
            <w:r w:rsidR="00412DA1" w:rsidRPr="005F1FAF">
              <w:rPr>
                <w:b/>
              </w:rPr>
              <w:t>crt</w:t>
            </w:r>
            <w:proofErr w:type="spellEnd"/>
            <w:proofErr w:type="gramEnd"/>
            <w:r w:rsidR="00412DA1" w:rsidRPr="005F1FAF">
              <w:rPr>
                <w:b/>
              </w:rPr>
              <w:t xml:space="preserve">. </w:t>
            </w:r>
            <w:proofErr w:type="gramStart"/>
            <w:r w:rsidR="00412DA1" w:rsidRPr="005F1FAF">
              <w:rPr>
                <w:b/>
              </w:rPr>
              <w:t>48</w:t>
            </w:r>
            <w:proofErr w:type="gramEnd"/>
            <w:r w:rsidR="00412DA1" w:rsidRPr="005F1FAF">
              <w:rPr>
                <w:b/>
              </w:rPr>
              <w:t xml:space="preserve">, </w:t>
            </w:r>
            <w:proofErr w:type="spellStart"/>
            <w:r w:rsidR="00412DA1" w:rsidRPr="005F1FAF">
              <w:rPr>
                <w:b/>
              </w:rPr>
              <w:t>eliminarea</w:t>
            </w:r>
            <w:proofErr w:type="spellEnd"/>
            <w:r w:rsidR="00412DA1" w:rsidRPr="005F1FAF">
              <w:rPr>
                <w:b/>
              </w:rPr>
              <w:t xml:space="preserve"> </w:t>
            </w:r>
            <w:proofErr w:type="spellStart"/>
            <w:r w:rsidR="00412DA1" w:rsidRPr="005F1FAF">
              <w:rPr>
                <w:b/>
              </w:rPr>
              <w:t>poziției</w:t>
            </w:r>
            <w:proofErr w:type="spellEnd"/>
            <w:r w:rsidR="00412DA1" w:rsidRPr="005F1FAF">
              <w:rPr>
                <w:b/>
              </w:rPr>
              <w:t xml:space="preserve"> </w:t>
            </w:r>
            <w:proofErr w:type="spellStart"/>
            <w:r w:rsidR="00412DA1" w:rsidRPr="005F1FAF">
              <w:rPr>
                <w:b/>
              </w:rPr>
              <w:t>nr</w:t>
            </w:r>
            <w:proofErr w:type="spellEnd"/>
            <w:r w:rsidR="00412DA1" w:rsidRPr="005F1FAF">
              <w:rPr>
                <w:b/>
              </w:rPr>
              <w:t xml:space="preserve">. </w:t>
            </w:r>
            <w:proofErr w:type="spellStart"/>
            <w:proofErr w:type="gramStart"/>
            <w:r w:rsidR="00412DA1" w:rsidRPr="005F1FAF">
              <w:rPr>
                <w:b/>
              </w:rPr>
              <w:t>crt</w:t>
            </w:r>
            <w:proofErr w:type="spellEnd"/>
            <w:proofErr w:type="gramEnd"/>
            <w:r w:rsidR="00412DA1" w:rsidRPr="005F1FAF">
              <w:rPr>
                <w:b/>
              </w:rPr>
              <w:t xml:space="preserve">. </w:t>
            </w:r>
            <w:proofErr w:type="gramStart"/>
            <w:r w:rsidR="00412DA1" w:rsidRPr="005F1FAF">
              <w:rPr>
                <w:b/>
              </w:rPr>
              <w:t>51</w:t>
            </w:r>
            <w:proofErr w:type="gramEnd"/>
            <w:r w:rsidR="00412DA1" w:rsidRPr="005F1FAF">
              <w:rPr>
                <w:b/>
              </w:rPr>
              <w:t xml:space="preserve"> ca </w:t>
            </w:r>
            <w:proofErr w:type="spellStart"/>
            <w:r w:rsidR="00412DA1" w:rsidRPr="005F1FAF">
              <w:rPr>
                <w:b/>
              </w:rPr>
              <w:t>urmare</w:t>
            </w:r>
            <w:proofErr w:type="spellEnd"/>
            <w:r w:rsidR="00412DA1" w:rsidRPr="005F1FAF">
              <w:rPr>
                <w:b/>
              </w:rPr>
              <w:t xml:space="preserve"> a </w:t>
            </w:r>
            <w:proofErr w:type="spellStart"/>
            <w:r w:rsidR="00412DA1" w:rsidRPr="005F1FAF">
              <w:rPr>
                <w:b/>
              </w:rPr>
              <w:t>comasării</w:t>
            </w:r>
            <w:proofErr w:type="spellEnd"/>
            <w:r w:rsidR="00412DA1" w:rsidRPr="005F1FAF">
              <w:rPr>
                <w:b/>
              </w:rPr>
              <w:t xml:space="preserve"> cu </w:t>
            </w:r>
            <w:proofErr w:type="spellStart"/>
            <w:r w:rsidR="00412DA1" w:rsidRPr="005F1FAF">
              <w:rPr>
                <w:b/>
              </w:rPr>
              <w:t>poziția</w:t>
            </w:r>
            <w:proofErr w:type="spellEnd"/>
            <w:r w:rsidR="00412DA1" w:rsidRPr="005F1FAF">
              <w:rPr>
                <w:b/>
              </w:rPr>
              <w:t xml:space="preserve"> </w:t>
            </w:r>
            <w:proofErr w:type="spellStart"/>
            <w:r w:rsidR="00412DA1" w:rsidRPr="005F1FAF">
              <w:rPr>
                <w:b/>
              </w:rPr>
              <w:t>nr</w:t>
            </w:r>
            <w:proofErr w:type="spellEnd"/>
            <w:r w:rsidR="00412DA1" w:rsidRPr="005F1FAF">
              <w:rPr>
                <w:b/>
              </w:rPr>
              <w:t xml:space="preserve">. </w:t>
            </w:r>
            <w:proofErr w:type="spellStart"/>
            <w:proofErr w:type="gramStart"/>
            <w:r w:rsidR="00412DA1" w:rsidRPr="005F1FAF">
              <w:rPr>
                <w:b/>
              </w:rPr>
              <w:t>crt</w:t>
            </w:r>
            <w:proofErr w:type="spellEnd"/>
            <w:proofErr w:type="gramEnd"/>
            <w:r w:rsidR="00412DA1" w:rsidRPr="005F1FAF">
              <w:rPr>
                <w:b/>
              </w:rPr>
              <w:t xml:space="preserve">. </w:t>
            </w:r>
            <w:proofErr w:type="gramStart"/>
            <w:r w:rsidR="00412DA1" w:rsidRPr="005F1FAF">
              <w:rPr>
                <w:b/>
              </w:rPr>
              <w:t>50</w:t>
            </w:r>
            <w:proofErr w:type="gramEnd"/>
            <w:r w:rsidR="00412DA1" w:rsidRPr="005F1FAF">
              <w:rPr>
                <w:b/>
              </w:rPr>
              <w:t xml:space="preserve">, </w:t>
            </w:r>
            <w:proofErr w:type="spellStart"/>
            <w:r w:rsidR="00412DA1" w:rsidRPr="005F1FAF">
              <w:rPr>
                <w:b/>
              </w:rPr>
              <w:t>eliminarea</w:t>
            </w:r>
            <w:proofErr w:type="spellEnd"/>
            <w:r w:rsidR="00412DA1" w:rsidRPr="005F1FAF">
              <w:rPr>
                <w:b/>
              </w:rPr>
              <w:t xml:space="preserve"> </w:t>
            </w:r>
            <w:proofErr w:type="spellStart"/>
            <w:r w:rsidR="00412DA1" w:rsidRPr="005F1FAF">
              <w:rPr>
                <w:b/>
              </w:rPr>
              <w:t>poziției</w:t>
            </w:r>
            <w:proofErr w:type="spellEnd"/>
            <w:r w:rsidR="00412DA1" w:rsidRPr="005F1FAF">
              <w:rPr>
                <w:b/>
              </w:rPr>
              <w:t xml:space="preserve"> </w:t>
            </w:r>
            <w:proofErr w:type="spellStart"/>
            <w:r w:rsidR="00412DA1" w:rsidRPr="005F1FAF">
              <w:rPr>
                <w:b/>
              </w:rPr>
              <w:t>nr</w:t>
            </w:r>
            <w:proofErr w:type="spellEnd"/>
            <w:r w:rsidR="00412DA1" w:rsidRPr="005F1FAF">
              <w:rPr>
                <w:b/>
              </w:rPr>
              <w:t xml:space="preserve">. </w:t>
            </w:r>
            <w:proofErr w:type="spellStart"/>
            <w:proofErr w:type="gramStart"/>
            <w:r w:rsidR="00412DA1" w:rsidRPr="005F1FAF">
              <w:rPr>
                <w:b/>
              </w:rPr>
              <w:t>crt</w:t>
            </w:r>
            <w:proofErr w:type="spellEnd"/>
            <w:proofErr w:type="gramEnd"/>
            <w:r w:rsidR="00412DA1" w:rsidRPr="005F1FAF">
              <w:rPr>
                <w:b/>
              </w:rPr>
              <w:t xml:space="preserve">. </w:t>
            </w:r>
            <w:proofErr w:type="gramStart"/>
            <w:r w:rsidR="00412DA1" w:rsidRPr="005F1FAF">
              <w:rPr>
                <w:b/>
              </w:rPr>
              <w:t>222</w:t>
            </w:r>
            <w:proofErr w:type="gramEnd"/>
            <w:r w:rsidR="00412DA1" w:rsidRPr="005F1FAF">
              <w:rPr>
                <w:b/>
              </w:rPr>
              <w:t xml:space="preserve"> ca </w:t>
            </w:r>
            <w:proofErr w:type="spellStart"/>
            <w:r w:rsidR="00412DA1" w:rsidRPr="005F1FAF">
              <w:rPr>
                <w:b/>
              </w:rPr>
              <w:t>urmare</w:t>
            </w:r>
            <w:proofErr w:type="spellEnd"/>
            <w:r w:rsidR="00412DA1" w:rsidRPr="005F1FAF">
              <w:rPr>
                <w:b/>
              </w:rPr>
              <w:t xml:space="preserve"> a </w:t>
            </w:r>
            <w:proofErr w:type="spellStart"/>
            <w:r w:rsidR="00412DA1" w:rsidRPr="005F1FAF">
              <w:rPr>
                <w:b/>
              </w:rPr>
              <w:t>comasării</w:t>
            </w:r>
            <w:proofErr w:type="spellEnd"/>
            <w:r w:rsidR="00412DA1" w:rsidRPr="005F1FAF">
              <w:rPr>
                <w:b/>
              </w:rPr>
              <w:t xml:space="preserve"> cu </w:t>
            </w:r>
            <w:proofErr w:type="spellStart"/>
            <w:r w:rsidR="00412DA1" w:rsidRPr="005F1FAF">
              <w:rPr>
                <w:b/>
              </w:rPr>
              <w:t>poziția</w:t>
            </w:r>
            <w:proofErr w:type="spellEnd"/>
            <w:r w:rsidR="00412DA1" w:rsidRPr="005F1FAF">
              <w:rPr>
                <w:b/>
              </w:rPr>
              <w:t xml:space="preserve"> </w:t>
            </w:r>
            <w:proofErr w:type="spellStart"/>
            <w:r w:rsidR="00412DA1" w:rsidRPr="005F1FAF">
              <w:rPr>
                <w:b/>
              </w:rPr>
              <w:t>nr</w:t>
            </w:r>
            <w:proofErr w:type="spellEnd"/>
            <w:r w:rsidR="00412DA1" w:rsidRPr="005F1FAF">
              <w:rPr>
                <w:b/>
              </w:rPr>
              <w:t xml:space="preserve">. </w:t>
            </w:r>
            <w:proofErr w:type="spellStart"/>
            <w:proofErr w:type="gramStart"/>
            <w:r w:rsidR="00412DA1" w:rsidRPr="005F1FAF">
              <w:rPr>
                <w:b/>
              </w:rPr>
              <w:t>crt</w:t>
            </w:r>
            <w:proofErr w:type="spellEnd"/>
            <w:proofErr w:type="gramEnd"/>
            <w:r w:rsidR="00412DA1" w:rsidRPr="005F1FAF">
              <w:rPr>
                <w:b/>
              </w:rPr>
              <w:t xml:space="preserve">. </w:t>
            </w:r>
            <w:proofErr w:type="gramStart"/>
            <w:r w:rsidR="00412DA1" w:rsidRPr="005F1FAF">
              <w:rPr>
                <w:b/>
              </w:rPr>
              <w:t>56</w:t>
            </w:r>
            <w:proofErr w:type="gramEnd"/>
            <w:r w:rsidR="00412DA1" w:rsidRPr="005F1FAF">
              <w:rPr>
                <w:b/>
              </w:rPr>
              <w:t xml:space="preserve">, </w:t>
            </w:r>
            <w:proofErr w:type="spellStart"/>
            <w:r w:rsidR="00412DA1" w:rsidRPr="005F1FAF">
              <w:rPr>
                <w:b/>
              </w:rPr>
              <w:t>eliminarea</w:t>
            </w:r>
            <w:proofErr w:type="spellEnd"/>
            <w:r w:rsidR="00412DA1" w:rsidRPr="005F1FAF">
              <w:rPr>
                <w:b/>
              </w:rPr>
              <w:t xml:space="preserve"> </w:t>
            </w:r>
            <w:proofErr w:type="spellStart"/>
            <w:r w:rsidR="00412DA1" w:rsidRPr="005F1FAF">
              <w:rPr>
                <w:b/>
              </w:rPr>
              <w:t>poziției</w:t>
            </w:r>
            <w:proofErr w:type="spellEnd"/>
            <w:r w:rsidR="00412DA1" w:rsidRPr="005F1FAF">
              <w:rPr>
                <w:b/>
              </w:rPr>
              <w:t xml:space="preserve"> </w:t>
            </w:r>
            <w:proofErr w:type="spellStart"/>
            <w:r w:rsidR="00412DA1" w:rsidRPr="005F1FAF">
              <w:rPr>
                <w:b/>
              </w:rPr>
              <w:t>nr</w:t>
            </w:r>
            <w:proofErr w:type="spellEnd"/>
            <w:r w:rsidR="00412DA1" w:rsidRPr="005F1FAF">
              <w:rPr>
                <w:b/>
              </w:rPr>
              <w:t xml:space="preserve">. </w:t>
            </w:r>
            <w:proofErr w:type="spellStart"/>
            <w:proofErr w:type="gramStart"/>
            <w:r w:rsidR="00412DA1" w:rsidRPr="005F1FAF">
              <w:rPr>
                <w:b/>
              </w:rPr>
              <w:t>crt</w:t>
            </w:r>
            <w:proofErr w:type="spellEnd"/>
            <w:proofErr w:type="gramEnd"/>
            <w:r w:rsidR="00412DA1" w:rsidRPr="005F1FAF">
              <w:rPr>
                <w:b/>
              </w:rPr>
              <w:t xml:space="preserve">. </w:t>
            </w:r>
            <w:proofErr w:type="gramStart"/>
            <w:r w:rsidR="00412DA1" w:rsidRPr="005F1FAF">
              <w:rPr>
                <w:b/>
              </w:rPr>
              <w:t>227</w:t>
            </w:r>
            <w:proofErr w:type="gramEnd"/>
            <w:r w:rsidR="00412DA1" w:rsidRPr="005F1FAF">
              <w:rPr>
                <w:b/>
              </w:rPr>
              <w:t xml:space="preserve"> ca </w:t>
            </w:r>
            <w:proofErr w:type="spellStart"/>
            <w:r w:rsidR="00412DA1" w:rsidRPr="005F1FAF">
              <w:rPr>
                <w:b/>
              </w:rPr>
              <w:t>urmare</w:t>
            </w:r>
            <w:proofErr w:type="spellEnd"/>
            <w:r w:rsidR="00412DA1" w:rsidRPr="005F1FAF">
              <w:rPr>
                <w:b/>
              </w:rPr>
              <w:t xml:space="preserve"> a </w:t>
            </w:r>
            <w:proofErr w:type="spellStart"/>
            <w:r w:rsidR="00412DA1" w:rsidRPr="005F1FAF">
              <w:rPr>
                <w:b/>
              </w:rPr>
              <w:t>comasării</w:t>
            </w:r>
            <w:proofErr w:type="spellEnd"/>
            <w:r w:rsidR="00412DA1" w:rsidRPr="005F1FAF">
              <w:rPr>
                <w:b/>
              </w:rPr>
              <w:t xml:space="preserve"> cu </w:t>
            </w:r>
            <w:proofErr w:type="spellStart"/>
            <w:r w:rsidR="00412DA1" w:rsidRPr="005F1FAF">
              <w:rPr>
                <w:b/>
              </w:rPr>
              <w:t>poziția</w:t>
            </w:r>
            <w:proofErr w:type="spellEnd"/>
            <w:r w:rsidR="00412DA1" w:rsidRPr="005F1FAF">
              <w:rPr>
                <w:b/>
              </w:rPr>
              <w:t xml:space="preserve"> </w:t>
            </w:r>
            <w:proofErr w:type="spellStart"/>
            <w:r w:rsidR="00412DA1" w:rsidRPr="005F1FAF">
              <w:rPr>
                <w:b/>
              </w:rPr>
              <w:t>nr</w:t>
            </w:r>
            <w:proofErr w:type="spellEnd"/>
            <w:r w:rsidR="00412DA1" w:rsidRPr="005F1FAF">
              <w:rPr>
                <w:b/>
              </w:rPr>
              <w:t xml:space="preserve">. </w:t>
            </w:r>
            <w:proofErr w:type="spellStart"/>
            <w:proofErr w:type="gramStart"/>
            <w:r w:rsidR="00412DA1" w:rsidRPr="005F1FAF">
              <w:rPr>
                <w:b/>
              </w:rPr>
              <w:t>crt</w:t>
            </w:r>
            <w:proofErr w:type="spellEnd"/>
            <w:proofErr w:type="gramEnd"/>
            <w:r w:rsidR="00412DA1" w:rsidRPr="005F1FAF">
              <w:rPr>
                <w:b/>
              </w:rPr>
              <w:t xml:space="preserve">. </w:t>
            </w:r>
            <w:proofErr w:type="gramStart"/>
            <w:r w:rsidR="00412DA1" w:rsidRPr="005F1FAF">
              <w:rPr>
                <w:b/>
              </w:rPr>
              <w:t>93</w:t>
            </w:r>
            <w:proofErr w:type="gramEnd"/>
            <w:r w:rsidR="00412DA1" w:rsidRPr="005F1FAF">
              <w:rPr>
                <w:b/>
              </w:rPr>
              <w:t xml:space="preserve">, </w:t>
            </w:r>
            <w:proofErr w:type="spellStart"/>
            <w:r w:rsidR="00412DA1" w:rsidRPr="005F1FAF">
              <w:rPr>
                <w:b/>
              </w:rPr>
              <w:t>eliminarea</w:t>
            </w:r>
            <w:proofErr w:type="spellEnd"/>
            <w:r w:rsidR="00412DA1" w:rsidRPr="005F1FAF">
              <w:rPr>
                <w:b/>
              </w:rPr>
              <w:t xml:space="preserve"> </w:t>
            </w:r>
            <w:proofErr w:type="spellStart"/>
            <w:r w:rsidR="00412DA1" w:rsidRPr="005F1FAF">
              <w:rPr>
                <w:b/>
              </w:rPr>
              <w:t>pozițiilor</w:t>
            </w:r>
            <w:proofErr w:type="spellEnd"/>
            <w:r w:rsidR="00412DA1" w:rsidRPr="005F1FAF">
              <w:rPr>
                <w:b/>
              </w:rPr>
              <w:t xml:space="preserve"> </w:t>
            </w:r>
            <w:proofErr w:type="spellStart"/>
            <w:r w:rsidR="00412DA1" w:rsidRPr="005F1FAF">
              <w:rPr>
                <w:b/>
              </w:rPr>
              <w:t>nr</w:t>
            </w:r>
            <w:proofErr w:type="spellEnd"/>
            <w:r w:rsidR="00412DA1" w:rsidRPr="005F1FAF">
              <w:rPr>
                <w:b/>
              </w:rPr>
              <w:t xml:space="preserve">. </w:t>
            </w:r>
            <w:proofErr w:type="spellStart"/>
            <w:proofErr w:type="gramStart"/>
            <w:r w:rsidR="00412DA1" w:rsidRPr="005F1FAF">
              <w:rPr>
                <w:b/>
              </w:rPr>
              <w:t>crt</w:t>
            </w:r>
            <w:proofErr w:type="spellEnd"/>
            <w:proofErr w:type="gramEnd"/>
            <w:r w:rsidR="00412DA1" w:rsidRPr="005F1FAF">
              <w:rPr>
                <w:b/>
              </w:rPr>
              <w:t xml:space="preserve">. </w:t>
            </w:r>
            <w:proofErr w:type="gramStart"/>
            <w:r w:rsidR="00412DA1" w:rsidRPr="005F1FAF">
              <w:rPr>
                <w:b/>
              </w:rPr>
              <w:t>115</w:t>
            </w:r>
            <w:proofErr w:type="gramEnd"/>
            <w:r w:rsidR="00412DA1" w:rsidRPr="005F1FAF">
              <w:rPr>
                <w:b/>
              </w:rPr>
              <w:t xml:space="preserve"> </w:t>
            </w:r>
            <w:proofErr w:type="spellStart"/>
            <w:r w:rsidR="00412DA1" w:rsidRPr="005F1FAF">
              <w:rPr>
                <w:b/>
              </w:rPr>
              <w:t>și</w:t>
            </w:r>
            <w:proofErr w:type="spellEnd"/>
            <w:r w:rsidR="00412DA1" w:rsidRPr="005F1FAF">
              <w:rPr>
                <w:b/>
              </w:rPr>
              <w:t xml:space="preserve"> 224 ca </w:t>
            </w:r>
            <w:proofErr w:type="spellStart"/>
            <w:r w:rsidR="00412DA1" w:rsidRPr="005F1FAF">
              <w:rPr>
                <w:b/>
              </w:rPr>
              <w:t>urmare</w:t>
            </w:r>
            <w:proofErr w:type="spellEnd"/>
            <w:r w:rsidR="00412DA1" w:rsidRPr="005F1FAF">
              <w:rPr>
                <w:b/>
              </w:rPr>
              <w:t xml:space="preserve"> a </w:t>
            </w:r>
            <w:proofErr w:type="spellStart"/>
            <w:r w:rsidR="00177A12" w:rsidRPr="005F1FAF">
              <w:rPr>
                <w:b/>
              </w:rPr>
              <w:t>comasării</w:t>
            </w:r>
            <w:proofErr w:type="spellEnd"/>
            <w:r w:rsidR="00177A12" w:rsidRPr="005F1FAF">
              <w:rPr>
                <w:b/>
              </w:rPr>
              <w:t xml:space="preserve"> cu </w:t>
            </w:r>
            <w:proofErr w:type="spellStart"/>
            <w:r w:rsidR="00177A12" w:rsidRPr="005F1FAF">
              <w:rPr>
                <w:b/>
              </w:rPr>
              <w:t>poziția</w:t>
            </w:r>
            <w:proofErr w:type="spellEnd"/>
            <w:r w:rsidR="00177A12" w:rsidRPr="005F1FAF">
              <w:rPr>
                <w:b/>
              </w:rPr>
              <w:t xml:space="preserve"> </w:t>
            </w:r>
            <w:proofErr w:type="spellStart"/>
            <w:r w:rsidR="00177A12" w:rsidRPr="005F1FAF">
              <w:rPr>
                <w:b/>
              </w:rPr>
              <w:t>nr</w:t>
            </w:r>
            <w:proofErr w:type="spellEnd"/>
            <w:r w:rsidR="00177A12" w:rsidRPr="005F1FAF">
              <w:rPr>
                <w:b/>
              </w:rPr>
              <w:t xml:space="preserve">. </w:t>
            </w:r>
            <w:proofErr w:type="spellStart"/>
            <w:proofErr w:type="gramStart"/>
            <w:r w:rsidR="00177A12" w:rsidRPr="005F1FAF">
              <w:rPr>
                <w:b/>
              </w:rPr>
              <w:t>crt</w:t>
            </w:r>
            <w:proofErr w:type="spellEnd"/>
            <w:proofErr w:type="gramEnd"/>
            <w:r w:rsidR="00177A12" w:rsidRPr="005F1FAF">
              <w:rPr>
                <w:b/>
              </w:rPr>
              <w:t xml:space="preserve">. </w:t>
            </w:r>
            <w:proofErr w:type="gramStart"/>
            <w:r w:rsidR="00177A12" w:rsidRPr="005F1FAF">
              <w:rPr>
                <w:b/>
              </w:rPr>
              <w:t>114</w:t>
            </w:r>
            <w:proofErr w:type="gramEnd"/>
            <w:r w:rsidR="00177A12" w:rsidRPr="005F1FAF">
              <w:rPr>
                <w:b/>
              </w:rPr>
              <w:t xml:space="preserve">, </w:t>
            </w:r>
            <w:proofErr w:type="spellStart"/>
            <w:r w:rsidR="00177A12" w:rsidRPr="005F1FAF">
              <w:rPr>
                <w:b/>
              </w:rPr>
              <w:t>eliminarea</w:t>
            </w:r>
            <w:proofErr w:type="spellEnd"/>
            <w:r w:rsidR="00177A12" w:rsidRPr="005F1FAF">
              <w:rPr>
                <w:b/>
              </w:rPr>
              <w:t xml:space="preserve"> </w:t>
            </w:r>
            <w:proofErr w:type="spellStart"/>
            <w:r w:rsidR="00177A12" w:rsidRPr="005F1FAF">
              <w:rPr>
                <w:b/>
              </w:rPr>
              <w:t>pozițiilor</w:t>
            </w:r>
            <w:proofErr w:type="spellEnd"/>
            <w:r w:rsidR="00177A12" w:rsidRPr="005F1FAF">
              <w:rPr>
                <w:b/>
              </w:rPr>
              <w:t xml:space="preserve"> </w:t>
            </w:r>
            <w:proofErr w:type="spellStart"/>
            <w:r w:rsidR="00177A12" w:rsidRPr="005F1FAF">
              <w:rPr>
                <w:b/>
              </w:rPr>
              <w:t>nr</w:t>
            </w:r>
            <w:proofErr w:type="spellEnd"/>
            <w:r w:rsidR="00177A12" w:rsidRPr="005F1FAF">
              <w:rPr>
                <w:b/>
              </w:rPr>
              <w:t xml:space="preserve">. </w:t>
            </w:r>
            <w:proofErr w:type="spellStart"/>
            <w:proofErr w:type="gramStart"/>
            <w:r w:rsidR="00177A12" w:rsidRPr="005F1FAF">
              <w:rPr>
                <w:b/>
              </w:rPr>
              <w:t>crt</w:t>
            </w:r>
            <w:proofErr w:type="spellEnd"/>
            <w:proofErr w:type="gramEnd"/>
            <w:r w:rsidR="00177A12" w:rsidRPr="005F1FAF">
              <w:rPr>
                <w:b/>
              </w:rPr>
              <w:t xml:space="preserve">. </w:t>
            </w:r>
            <w:proofErr w:type="gramStart"/>
            <w:r w:rsidR="00177A12" w:rsidRPr="005F1FAF">
              <w:rPr>
                <w:b/>
              </w:rPr>
              <w:t>238</w:t>
            </w:r>
            <w:proofErr w:type="gramEnd"/>
            <w:r w:rsidR="00177A12" w:rsidRPr="005F1FAF">
              <w:rPr>
                <w:b/>
              </w:rPr>
              <w:t xml:space="preserve">, 239 </w:t>
            </w:r>
            <w:proofErr w:type="spellStart"/>
            <w:r w:rsidR="00177A12" w:rsidRPr="005F1FAF">
              <w:rPr>
                <w:b/>
              </w:rPr>
              <w:t>și</w:t>
            </w:r>
            <w:proofErr w:type="spellEnd"/>
            <w:r w:rsidR="00177A12" w:rsidRPr="005F1FAF">
              <w:rPr>
                <w:b/>
              </w:rPr>
              <w:t xml:space="preserve"> 240 ca </w:t>
            </w:r>
            <w:proofErr w:type="spellStart"/>
            <w:r w:rsidR="00177A12" w:rsidRPr="005F1FAF">
              <w:rPr>
                <w:b/>
              </w:rPr>
              <w:t>urmare</w:t>
            </w:r>
            <w:proofErr w:type="spellEnd"/>
            <w:r w:rsidR="00177A12" w:rsidRPr="005F1FAF">
              <w:rPr>
                <w:b/>
              </w:rPr>
              <w:t xml:space="preserve"> a </w:t>
            </w:r>
            <w:proofErr w:type="spellStart"/>
            <w:r w:rsidR="00177A12" w:rsidRPr="005F1FAF">
              <w:rPr>
                <w:b/>
              </w:rPr>
              <w:t>comasării</w:t>
            </w:r>
            <w:proofErr w:type="spellEnd"/>
            <w:r w:rsidR="00177A12" w:rsidRPr="005F1FAF">
              <w:rPr>
                <w:b/>
              </w:rPr>
              <w:t xml:space="preserve"> cu </w:t>
            </w:r>
            <w:proofErr w:type="spellStart"/>
            <w:r w:rsidR="00177A12" w:rsidRPr="005F1FAF">
              <w:rPr>
                <w:b/>
              </w:rPr>
              <w:t>poziția</w:t>
            </w:r>
            <w:proofErr w:type="spellEnd"/>
            <w:r w:rsidR="00177A12" w:rsidRPr="005F1FAF">
              <w:rPr>
                <w:b/>
              </w:rPr>
              <w:t xml:space="preserve"> </w:t>
            </w:r>
            <w:proofErr w:type="spellStart"/>
            <w:r w:rsidR="00177A12" w:rsidRPr="005F1FAF">
              <w:rPr>
                <w:b/>
              </w:rPr>
              <w:t>nr</w:t>
            </w:r>
            <w:proofErr w:type="spellEnd"/>
            <w:r w:rsidR="00177A12" w:rsidRPr="005F1FAF">
              <w:rPr>
                <w:b/>
              </w:rPr>
              <w:t xml:space="preserve">. </w:t>
            </w:r>
            <w:proofErr w:type="spellStart"/>
            <w:proofErr w:type="gramStart"/>
            <w:r w:rsidR="00177A12" w:rsidRPr="005F1FAF">
              <w:rPr>
                <w:b/>
              </w:rPr>
              <w:t>crt</w:t>
            </w:r>
            <w:proofErr w:type="spellEnd"/>
            <w:proofErr w:type="gramEnd"/>
            <w:r w:rsidR="00177A12" w:rsidRPr="005F1FAF">
              <w:rPr>
                <w:b/>
              </w:rPr>
              <w:t xml:space="preserve">. </w:t>
            </w:r>
            <w:proofErr w:type="gramStart"/>
            <w:r w:rsidR="00177A12" w:rsidRPr="005F1FAF">
              <w:rPr>
                <w:b/>
              </w:rPr>
              <w:t>159</w:t>
            </w:r>
            <w:proofErr w:type="gramEnd"/>
            <w:r w:rsidR="00177A12" w:rsidRPr="005F1FAF">
              <w:rPr>
                <w:b/>
              </w:rPr>
              <w:t xml:space="preserve">, </w:t>
            </w:r>
            <w:proofErr w:type="spellStart"/>
            <w:r w:rsidR="00177A12" w:rsidRPr="005F1FAF">
              <w:rPr>
                <w:b/>
              </w:rPr>
              <w:t>eliminarea</w:t>
            </w:r>
            <w:proofErr w:type="spellEnd"/>
            <w:r w:rsidR="00177A12" w:rsidRPr="005F1FAF">
              <w:rPr>
                <w:b/>
              </w:rPr>
              <w:t xml:space="preserve"> </w:t>
            </w:r>
            <w:proofErr w:type="spellStart"/>
            <w:r w:rsidR="00177A12" w:rsidRPr="005F1FAF">
              <w:rPr>
                <w:b/>
              </w:rPr>
              <w:t>pozițiilor</w:t>
            </w:r>
            <w:proofErr w:type="spellEnd"/>
            <w:r w:rsidR="00177A12" w:rsidRPr="005F1FAF">
              <w:rPr>
                <w:b/>
              </w:rPr>
              <w:t xml:space="preserve"> </w:t>
            </w:r>
            <w:proofErr w:type="spellStart"/>
            <w:r w:rsidR="00177A12" w:rsidRPr="005F1FAF">
              <w:rPr>
                <w:b/>
              </w:rPr>
              <w:t>nr</w:t>
            </w:r>
            <w:proofErr w:type="spellEnd"/>
            <w:r w:rsidR="00177A12" w:rsidRPr="005F1FAF">
              <w:rPr>
                <w:b/>
              </w:rPr>
              <w:t xml:space="preserve">. </w:t>
            </w:r>
            <w:proofErr w:type="spellStart"/>
            <w:proofErr w:type="gramStart"/>
            <w:r w:rsidR="00177A12" w:rsidRPr="005F1FAF">
              <w:rPr>
                <w:b/>
              </w:rPr>
              <w:t>crt</w:t>
            </w:r>
            <w:proofErr w:type="spellEnd"/>
            <w:proofErr w:type="gramEnd"/>
            <w:r w:rsidR="00177A12" w:rsidRPr="005F1FAF">
              <w:rPr>
                <w:b/>
              </w:rPr>
              <w:t xml:space="preserve">. 163, 164, 165 </w:t>
            </w:r>
            <w:proofErr w:type="spellStart"/>
            <w:r w:rsidR="00177A12" w:rsidRPr="005F1FAF">
              <w:rPr>
                <w:b/>
              </w:rPr>
              <w:t>și</w:t>
            </w:r>
            <w:proofErr w:type="spellEnd"/>
            <w:r w:rsidR="00177A12" w:rsidRPr="005F1FAF">
              <w:rPr>
                <w:b/>
              </w:rPr>
              <w:t xml:space="preserve"> 166 ca </w:t>
            </w:r>
            <w:proofErr w:type="spellStart"/>
            <w:r w:rsidR="00177A12" w:rsidRPr="005F1FAF">
              <w:rPr>
                <w:b/>
              </w:rPr>
              <w:t>urmare</w:t>
            </w:r>
            <w:proofErr w:type="spellEnd"/>
            <w:r w:rsidR="00177A12" w:rsidRPr="005F1FAF">
              <w:rPr>
                <w:b/>
              </w:rPr>
              <w:t xml:space="preserve"> a </w:t>
            </w:r>
            <w:proofErr w:type="spellStart"/>
            <w:r w:rsidR="00177A12" w:rsidRPr="005F1FAF">
              <w:rPr>
                <w:b/>
              </w:rPr>
              <w:t>comasării</w:t>
            </w:r>
            <w:proofErr w:type="spellEnd"/>
            <w:r w:rsidR="00177A12" w:rsidRPr="005F1FAF">
              <w:rPr>
                <w:b/>
              </w:rPr>
              <w:t xml:space="preserve"> cu </w:t>
            </w:r>
            <w:proofErr w:type="spellStart"/>
            <w:r w:rsidR="00177A12" w:rsidRPr="005F1FAF">
              <w:rPr>
                <w:b/>
              </w:rPr>
              <w:t>poziția</w:t>
            </w:r>
            <w:proofErr w:type="spellEnd"/>
            <w:r w:rsidR="00177A12" w:rsidRPr="005F1FAF">
              <w:rPr>
                <w:b/>
              </w:rPr>
              <w:t xml:space="preserve"> </w:t>
            </w:r>
            <w:proofErr w:type="spellStart"/>
            <w:r w:rsidR="00177A12" w:rsidRPr="005F1FAF">
              <w:rPr>
                <w:b/>
              </w:rPr>
              <w:t>nr</w:t>
            </w:r>
            <w:proofErr w:type="spellEnd"/>
            <w:r w:rsidR="00177A12" w:rsidRPr="005F1FAF">
              <w:rPr>
                <w:b/>
              </w:rPr>
              <w:t xml:space="preserve">. </w:t>
            </w:r>
            <w:proofErr w:type="spellStart"/>
            <w:proofErr w:type="gramStart"/>
            <w:r w:rsidR="00177A12" w:rsidRPr="005F1FAF">
              <w:rPr>
                <w:b/>
              </w:rPr>
              <w:t>crt</w:t>
            </w:r>
            <w:proofErr w:type="spellEnd"/>
            <w:proofErr w:type="gramEnd"/>
            <w:r w:rsidR="00177A12" w:rsidRPr="005F1FAF">
              <w:rPr>
                <w:b/>
              </w:rPr>
              <w:t xml:space="preserve">. </w:t>
            </w:r>
            <w:proofErr w:type="gramStart"/>
            <w:r w:rsidR="00177A12" w:rsidRPr="005F1FAF">
              <w:rPr>
                <w:b/>
              </w:rPr>
              <w:t>162</w:t>
            </w:r>
            <w:proofErr w:type="gramEnd"/>
            <w:r w:rsidR="00177A12" w:rsidRPr="005F1FAF">
              <w:rPr>
                <w:b/>
              </w:rPr>
              <w:t xml:space="preserve">, </w:t>
            </w:r>
            <w:proofErr w:type="spellStart"/>
            <w:r w:rsidR="00177A12" w:rsidRPr="005F1FAF">
              <w:rPr>
                <w:b/>
              </w:rPr>
              <w:t>eliminarea</w:t>
            </w:r>
            <w:proofErr w:type="spellEnd"/>
            <w:r w:rsidR="00177A12" w:rsidRPr="005F1FAF">
              <w:rPr>
                <w:b/>
              </w:rPr>
              <w:t xml:space="preserve"> </w:t>
            </w:r>
            <w:proofErr w:type="spellStart"/>
            <w:r w:rsidR="00177A12" w:rsidRPr="005F1FAF">
              <w:rPr>
                <w:b/>
              </w:rPr>
              <w:t>poziției</w:t>
            </w:r>
            <w:proofErr w:type="spellEnd"/>
            <w:r w:rsidR="00177A12" w:rsidRPr="005F1FAF">
              <w:rPr>
                <w:b/>
              </w:rPr>
              <w:t xml:space="preserve"> </w:t>
            </w:r>
            <w:proofErr w:type="spellStart"/>
            <w:r w:rsidR="00177A12" w:rsidRPr="005F1FAF">
              <w:rPr>
                <w:b/>
              </w:rPr>
              <w:t>nr</w:t>
            </w:r>
            <w:proofErr w:type="spellEnd"/>
            <w:r w:rsidR="00177A12" w:rsidRPr="005F1FAF">
              <w:rPr>
                <w:b/>
              </w:rPr>
              <w:t xml:space="preserve">. </w:t>
            </w:r>
            <w:proofErr w:type="spellStart"/>
            <w:proofErr w:type="gramStart"/>
            <w:r w:rsidR="00177A12" w:rsidRPr="005F1FAF">
              <w:rPr>
                <w:b/>
              </w:rPr>
              <w:t>crt</w:t>
            </w:r>
            <w:proofErr w:type="spellEnd"/>
            <w:proofErr w:type="gramEnd"/>
            <w:r w:rsidR="00177A12" w:rsidRPr="005F1FAF">
              <w:rPr>
                <w:b/>
              </w:rPr>
              <w:t xml:space="preserve">. </w:t>
            </w:r>
            <w:proofErr w:type="gramStart"/>
            <w:r w:rsidR="00177A12" w:rsidRPr="005F1FAF">
              <w:rPr>
                <w:b/>
              </w:rPr>
              <w:t>189</w:t>
            </w:r>
            <w:proofErr w:type="gramEnd"/>
            <w:r w:rsidR="00177A12" w:rsidRPr="005F1FAF">
              <w:rPr>
                <w:b/>
              </w:rPr>
              <w:t xml:space="preserve"> ca </w:t>
            </w:r>
            <w:proofErr w:type="spellStart"/>
            <w:r w:rsidR="00177A12" w:rsidRPr="005F1FAF">
              <w:rPr>
                <w:b/>
              </w:rPr>
              <w:t>urmare</w:t>
            </w:r>
            <w:proofErr w:type="spellEnd"/>
            <w:r w:rsidR="00177A12" w:rsidRPr="005F1FAF">
              <w:rPr>
                <w:b/>
              </w:rPr>
              <w:t xml:space="preserve"> a </w:t>
            </w:r>
            <w:proofErr w:type="spellStart"/>
            <w:r w:rsidR="00177A12" w:rsidRPr="005F1FAF">
              <w:rPr>
                <w:b/>
              </w:rPr>
              <w:t>comasării</w:t>
            </w:r>
            <w:proofErr w:type="spellEnd"/>
            <w:r w:rsidR="00177A12" w:rsidRPr="005F1FAF">
              <w:rPr>
                <w:b/>
              </w:rPr>
              <w:t xml:space="preserve"> cu </w:t>
            </w:r>
            <w:proofErr w:type="spellStart"/>
            <w:r w:rsidR="00177A12" w:rsidRPr="005F1FAF">
              <w:rPr>
                <w:b/>
              </w:rPr>
              <w:t>poziția</w:t>
            </w:r>
            <w:proofErr w:type="spellEnd"/>
            <w:r w:rsidR="00177A12" w:rsidRPr="005F1FAF">
              <w:rPr>
                <w:b/>
              </w:rPr>
              <w:t xml:space="preserve"> </w:t>
            </w:r>
            <w:proofErr w:type="spellStart"/>
            <w:r w:rsidR="00177A12" w:rsidRPr="005F1FAF">
              <w:rPr>
                <w:b/>
              </w:rPr>
              <w:t>nr</w:t>
            </w:r>
            <w:proofErr w:type="spellEnd"/>
            <w:r w:rsidR="00177A12" w:rsidRPr="005F1FAF">
              <w:rPr>
                <w:b/>
              </w:rPr>
              <w:t xml:space="preserve">. </w:t>
            </w:r>
            <w:proofErr w:type="spellStart"/>
            <w:proofErr w:type="gramStart"/>
            <w:r w:rsidR="00177A12" w:rsidRPr="005F1FAF">
              <w:rPr>
                <w:b/>
              </w:rPr>
              <w:t>crt</w:t>
            </w:r>
            <w:proofErr w:type="spellEnd"/>
            <w:proofErr w:type="gramEnd"/>
            <w:r w:rsidR="00177A12" w:rsidRPr="005F1FAF">
              <w:rPr>
                <w:b/>
              </w:rPr>
              <w:t xml:space="preserve">. </w:t>
            </w:r>
            <w:proofErr w:type="gramStart"/>
            <w:r w:rsidR="00177A12" w:rsidRPr="005F1FAF">
              <w:rPr>
                <w:b/>
              </w:rPr>
              <w:t>188</w:t>
            </w:r>
            <w:proofErr w:type="gramEnd"/>
            <w:r w:rsidR="00177A12" w:rsidRPr="005F1FAF">
              <w:rPr>
                <w:b/>
              </w:rPr>
              <w:t xml:space="preserve">, </w:t>
            </w:r>
            <w:proofErr w:type="spellStart"/>
            <w:r w:rsidR="00177A12" w:rsidRPr="005F1FAF">
              <w:rPr>
                <w:b/>
              </w:rPr>
              <w:t>eliminarea</w:t>
            </w:r>
            <w:proofErr w:type="spellEnd"/>
            <w:r w:rsidR="00177A12" w:rsidRPr="005F1FAF">
              <w:rPr>
                <w:b/>
              </w:rPr>
              <w:t xml:space="preserve"> </w:t>
            </w:r>
            <w:proofErr w:type="spellStart"/>
            <w:r w:rsidR="00177A12" w:rsidRPr="005F1FAF">
              <w:rPr>
                <w:b/>
              </w:rPr>
              <w:t>pozițiilor</w:t>
            </w:r>
            <w:proofErr w:type="spellEnd"/>
            <w:r w:rsidR="00177A12" w:rsidRPr="005F1FAF">
              <w:rPr>
                <w:b/>
              </w:rPr>
              <w:t xml:space="preserve"> </w:t>
            </w:r>
            <w:proofErr w:type="spellStart"/>
            <w:r w:rsidR="00177A12" w:rsidRPr="005F1FAF">
              <w:rPr>
                <w:b/>
              </w:rPr>
              <w:t>nr</w:t>
            </w:r>
            <w:proofErr w:type="spellEnd"/>
            <w:r w:rsidR="00177A12" w:rsidRPr="005F1FAF">
              <w:rPr>
                <w:b/>
              </w:rPr>
              <w:t xml:space="preserve">. </w:t>
            </w:r>
            <w:proofErr w:type="spellStart"/>
            <w:proofErr w:type="gramStart"/>
            <w:r w:rsidR="00177A12" w:rsidRPr="005F1FAF">
              <w:rPr>
                <w:b/>
              </w:rPr>
              <w:t>crt</w:t>
            </w:r>
            <w:proofErr w:type="spellEnd"/>
            <w:proofErr w:type="gramEnd"/>
            <w:r w:rsidR="00177A12" w:rsidRPr="005F1FAF">
              <w:rPr>
                <w:b/>
              </w:rPr>
              <w:t xml:space="preserve">. </w:t>
            </w:r>
            <w:proofErr w:type="gramStart"/>
            <w:r w:rsidR="00177A12" w:rsidRPr="005F1FAF">
              <w:rPr>
                <w:b/>
              </w:rPr>
              <w:t>201</w:t>
            </w:r>
            <w:proofErr w:type="gramEnd"/>
            <w:r w:rsidR="00177A12" w:rsidRPr="005F1FAF">
              <w:rPr>
                <w:b/>
              </w:rPr>
              <w:t xml:space="preserve"> </w:t>
            </w:r>
            <w:proofErr w:type="spellStart"/>
            <w:r w:rsidR="00177A12" w:rsidRPr="005F1FAF">
              <w:rPr>
                <w:b/>
              </w:rPr>
              <w:t>și</w:t>
            </w:r>
            <w:proofErr w:type="spellEnd"/>
            <w:r w:rsidR="00177A12" w:rsidRPr="005F1FAF">
              <w:rPr>
                <w:b/>
              </w:rPr>
              <w:t xml:space="preserve"> 202 ca </w:t>
            </w:r>
            <w:proofErr w:type="spellStart"/>
            <w:r w:rsidR="00177A12" w:rsidRPr="005F1FAF">
              <w:rPr>
                <w:b/>
              </w:rPr>
              <w:t>urmare</w:t>
            </w:r>
            <w:proofErr w:type="spellEnd"/>
            <w:r w:rsidR="00177A12" w:rsidRPr="005F1FAF">
              <w:rPr>
                <w:b/>
              </w:rPr>
              <w:t xml:space="preserve"> a </w:t>
            </w:r>
            <w:proofErr w:type="spellStart"/>
            <w:r w:rsidR="00177A12" w:rsidRPr="005F1FAF">
              <w:rPr>
                <w:b/>
              </w:rPr>
              <w:t>comasării</w:t>
            </w:r>
            <w:proofErr w:type="spellEnd"/>
            <w:r w:rsidR="00177A12" w:rsidRPr="005F1FAF">
              <w:rPr>
                <w:b/>
              </w:rPr>
              <w:t xml:space="preserve"> cu </w:t>
            </w:r>
            <w:proofErr w:type="spellStart"/>
            <w:r w:rsidR="00177A12" w:rsidRPr="005F1FAF">
              <w:rPr>
                <w:b/>
              </w:rPr>
              <w:t>poziția</w:t>
            </w:r>
            <w:proofErr w:type="spellEnd"/>
            <w:r w:rsidR="00177A12" w:rsidRPr="005F1FAF">
              <w:rPr>
                <w:b/>
              </w:rPr>
              <w:t xml:space="preserve"> </w:t>
            </w:r>
            <w:proofErr w:type="spellStart"/>
            <w:r w:rsidR="00177A12" w:rsidRPr="005F1FAF">
              <w:rPr>
                <w:b/>
              </w:rPr>
              <w:t>nr</w:t>
            </w:r>
            <w:proofErr w:type="spellEnd"/>
            <w:r w:rsidR="00177A12" w:rsidRPr="005F1FAF">
              <w:rPr>
                <w:b/>
              </w:rPr>
              <w:t xml:space="preserve">. </w:t>
            </w:r>
            <w:proofErr w:type="spellStart"/>
            <w:proofErr w:type="gramStart"/>
            <w:r w:rsidR="00177A12" w:rsidRPr="005F1FAF">
              <w:rPr>
                <w:b/>
              </w:rPr>
              <w:t>crt</w:t>
            </w:r>
            <w:proofErr w:type="spellEnd"/>
            <w:proofErr w:type="gramEnd"/>
            <w:r w:rsidR="00177A12" w:rsidRPr="005F1FAF">
              <w:rPr>
                <w:b/>
              </w:rPr>
              <w:t xml:space="preserve">. </w:t>
            </w:r>
            <w:proofErr w:type="gramStart"/>
            <w:r w:rsidR="00177A12" w:rsidRPr="005F1FAF">
              <w:rPr>
                <w:b/>
              </w:rPr>
              <w:t xml:space="preserve">200 </w:t>
            </w:r>
            <w:proofErr w:type="spellStart"/>
            <w:r w:rsidR="00177A12" w:rsidRPr="005F1FAF">
              <w:rPr>
                <w:b/>
              </w:rPr>
              <w:t>și</w:t>
            </w:r>
            <w:proofErr w:type="spellEnd"/>
            <w:proofErr w:type="gramEnd"/>
            <w:r w:rsidR="00177A12" w:rsidRPr="005F1FAF">
              <w:rPr>
                <w:b/>
              </w:rPr>
              <w:t xml:space="preserve"> </w:t>
            </w:r>
            <w:proofErr w:type="spellStart"/>
            <w:r w:rsidR="00177A12" w:rsidRPr="005F1FAF">
              <w:rPr>
                <w:b/>
              </w:rPr>
              <w:t>eliminarea</w:t>
            </w:r>
            <w:proofErr w:type="spellEnd"/>
            <w:r w:rsidR="00177A12" w:rsidRPr="005F1FAF">
              <w:rPr>
                <w:b/>
              </w:rPr>
              <w:t xml:space="preserve"> </w:t>
            </w:r>
            <w:proofErr w:type="spellStart"/>
            <w:r w:rsidR="00177A12" w:rsidRPr="005F1FAF">
              <w:rPr>
                <w:b/>
              </w:rPr>
              <w:t>poziției</w:t>
            </w:r>
            <w:proofErr w:type="spellEnd"/>
            <w:r w:rsidR="00177A12" w:rsidRPr="005F1FAF">
              <w:rPr>
                <w:b/>
              </w:rPr>
              <w:t xml:space="preserve"> </w:t>
            </w:r>
            <w:proofErr w:type="spellStart"/>
            <w:r w:rsidR="00177A12" w:rsidRPr="005F1FAF">
              <w:rPr>
                <w:b/>
              </w:rPr>
              <w:t>nr</w:t>
            </w:r>
            <w:proofErr w:type="spellEnd"/>
            <w:r w:rsidR="00177A12" w:rsidRPr="005F1FAF">
              <w:rPr>
                <w:b/>
              </w:rPr>
              <w:t xml:space="preserve">. </w:t>
            </w:r>
            <w:proofErr w:type="spellStart"/>
            <w:proofErr w:type="gramStart"/>
            <w:r w:rsidR="00177A12" w:rsidRPr="005F1FAF">
              <w:rPr>
                <w:b/>
              </w:rPr>
              <w:t>crt</w:t>
            </w:r>
            <w:proofErr w:type="spellEnd"/>
            <w:proofErr w:type="gramEnd"/>
            <w:r w:rsidR="00177A12" w:rsidRPr="005F1FAF">
              <w:rPr>
                <w:b/>
              </w:rPr>
              <w:t xml:space="preserve">. </w:t>
            </w:r>
            <w:proofErr w:type="gramStart"/>
            <w:r w:rsidR="00177A12" w:rsidRPr="005F1FAF">
              <w:rPr>
                <w:b/>
              </w:rPr>
              <w:t>212</w:t>
            </w:r>
            <w:proofErr w:type="gramEnd"/>
            <w:r w:rsidR="00177A12" w:rsidRPr="005F1FAF">
              <w:rPr>
                <w:b/>
              </w:rPr>
              <w:t xml:space="preserve"> ca </w:t>
            </w:r>
            <w:proofErr w:type="spellStart"/>
            <w:r w:rsidR="00177A12" w:rsidRPr="005F1FAF">
              <w:rPr>
                <w:b/>
              </w:rPr>
              <w:t>urmare</w:t>
            </w:r>
            <w:proofErr w:type="spellEnd"/>
            <w:r w:rsidR="00177A12" w:rsidRPr="005F1FAF">
              <w:rPr>
                <w:b/>
              </w:rPr>
              <w:t xml:space="preserve"> a </w:t>
            </w:r>
            <w:proofErr w:type="spellStart"/>
            <w:r w:rsidR="00177A12" w:rsidRPr="005F1FAF">
              <w:rPr>
                <w:b/>
              </w:rPr>
              <w:t>comasării</w:t>
            </w:r>
            <w:proofErr w:type="spellEnd"/>
            <w:r w:rsidR="00177A12" w:rsidRPr="005F1FAF">
              <w:rPr>
                <w:b/>
              </w:rPr>
              <w:t xml:space="preserve"> cu </w:t>
            </w:r>
            <w:proofErr w:type="spellStart"/>
            <w:r w:rsidR="00177A12" w:rsidRPr="005F1FAF">
              <w:rPr>
                <w:b/>
              </w:rPr>
              <w:t>poziția</w:t>
            </w:r>
            <w:proofErr w:type="spellEnd"/>
            <w:r w:rsidR="00177A12" w:rsidRPr="005F1FAF">
              <w:rPr>
                <w:b/>
              </w:rPr>
              <w:t xml:space="preserve"> </w:t>
            </w:r>
            <w:proofErr w:type="spellStart"/>
            <w:r w:rsidR="00177A12" w:rsidRPr="005F1FAF">
              <w:rPr>
                <w:b/>
              </w:rPr>
              <w:t>nr</w:t>
            </w:r>
            <w:proofErr w:type="spellEnd"/>
            <w:r w:rsidR="00177A12" w:rsidRPr="005F1FAF">
              <w:rPr>
                <w:b/>
              </w:rPr>
              <w:t xml:space="preserve">. </w:t>
            </w:r>
            <w:proofErr w:type="spellStart"/>
            <w:proofErr w:type="gramStart"/>
            <w:r w:rsidR="00177A12" w:rsidRPr="005F1FAF">
              <w:rPr>
                <w:b/>
              </w:rPr>
              <w:t>crt</w:t>
            </w:r>
            <w:proofErr w:type="spellEnd"/>
            <w:proofErr w:type="gramEnd"/>
            <w:r w:rsidR="00177A12" w:rsidRPr="005F1FAF">
              <w:rPr>
                <w:b/>
              </w:rPr>
              <w:t>. 211.</w:t>
            </w:r>
          </w:p>
          <w:p w:rsidR="004738F8" w:rsidRPr="005F1FAF" w:rsidRDefault="004738F8" w:rsidP="00B0425D">
            <w:pPr>
              <w:pStyle w:val="ListParagraph"/>
              <w:shd w:val="clear" w:color="auto" w:fill="FFFFFF"/>
              <w:ind w:left="0"/>
              <w:jc w:val="both"/>
              <w:rPr>
                <w:sz w:val="16"/>
                <w:szCs w:val="16"/>
              </w:rPr>
            </w:pPr>
          </w:p>
          <w:p w:rsidR="004738F8" w:rsidRPr="005F1FAF" w:rsidRDefault="00C141CE" w:rsidP="00B0425D">
            <w:pPr>
              <w:pStyle w:val="ListParagraph"/>
              <w:numPr>
                <w:ilvl w:val="0"/>
                <w:numId w:val="16"/>
              </w:numPr>
              <w:shd w:val="clear" w:color="auto" w:fill="FFFFFF"/>
              <w:ind w:left="0" w:firstLine="0"/>
              <w:jc w:val="both"/>
            </w:pPr>
            <w:proofErr w:type="spellStart"/>
            <w:r w:rsidRPr="005F1FAF">
              <w:rPr>
                <w:b/>
              </w:rPr>
              <w:t>După</w:t>
            </w:r>
            <w:proofErr w:type="spellEnd"/>
            <w:r w:rsidRPr="005F1FAF">
              <w:rPr>
                <w:b/>
              </w:rPr>
              <w:t xml:space="preserve"> </w:t>
            </w:r>
            <w:proofErr w:type="spellStart"/>
            <w:r w:rsidRPr="005F1FAF">
              <w:rPr>
                <w:b/>
              </w:rPr>
              <w:t>poziția</w:t>
            </w:r>
            <w:proofErr w:type="spellEnd"/>
            <w:r w:rsidRPr="005F1FAF">
              <w:rPr>
                <w:b/>
              </w:rPr>
              <w:t xml:space="preserve"> </w:t>
            </w:r>
            <w:proofErr w:type="spellStart"/>
            <w:r w:rsidRPr="005F1FAF">
              <w:rPr>
                <w:b/>
              </w:rPr>
              <w:t>nr</w:t>
            </w:r>
            <w:proofErr w:type="spellEnd"/>
            <w:r w:rsidRPr="005F1FAF">
              <w:rPr>
                <w:b/>
              </w:rPr>
              <w:t xml:space="preserve">. </w:t>
            </w:r>
            <w:proofErr w:type="spellStart"/>
            <w:proofErr w:type="gramStart"/>
            <w:r w:rsidRPr="005F1FAF">
              <w:rPr>
                <w:b/>
              </w:rPr>
              <w:t>crt</w:t>
            </w:r>
            <w:proofErr w:type="spellEnd"/>
            <w:proofErr w:type="gramEnd"/>
            <w:r w:rsidRPr="005F1FAF">
              <w:rPr>
                <w:b/>
              </w:rPr>
              <w:t xml:space="preserve">. </w:t>
            </w:r>
            <w:proofErr w:type="gramStart"/>
            <w:r w:rsidRPr="005F1FAF">
              <w:rPr>
                <w:b/>
              </w:rPr>
              <w:t>132</w:t>
            </w:r>
            <w:proofErr w:type="gramEnd"/>
            <w:r w:rsidR="004738F8" w:rsidRPr="005F1FAF">
              <w:t xml:space="preserve"> </w:t>
            </w:r>
            <w:r w:rsidR="004738F8" w:rsidRPr="005F1FAF">
              <w:rPr>
                <w:b/>
              </w:rPr>
              <w:t xml:space="preserve">se introduce o </w:t>
            </w:r>
            <w:proofErr w:type="spellStart"/>
            <w:r w:rsidR="004738F8" w:rsidRPr="005F1FAF">
              <w:rPr>
                <w:b/>
              </w:rPr>
              <w:t>nouă</w:t>
            </w:r>
            <w:proofErr w:type="spellEnd"/>
            <w:r w:rsidR="004738F8" w:rsidRPr="005F1FAF">
              <w:rPr>
                <w:b/>
              </w:rPr>
              <w:t xml:space="preserve"> </w:t>
            </w:r>
            <w:proofErr w:type="spellStart"/>
            <w:r w:rsidR="004738F8" w:rsidRPr="005F1FAF">
              <w:rPr>
                <w:b/>
              </w:rPr>
              <w:t>poziți</w:t>
            </w:r>
            <w:r w:rsidRPr="005F1FAF">
              <w:rPr>
                <w:b/>
              </w:rPr>
              <w:t>e</w:t>
            </w:r>
            <w:proofErr w:type="spellEnd"/>
            <w:r w:rsidRPr="005F1FAF">
              <w:rPr>
                <w:b/>
              </w:rPr>
              <w:t xml:space="preserve">, </w:t>
            </w:r>
            <w:proofErr w:type="spellStart"/>
            <w:r w:rsidRPr="005F1FAF">
              <w:rPr>
                <w:b/>
              </w:rPr>
              <w:t>respectiv</w:t>
            </w:r>
            <w:proofErr w:type="spellEnd"/>
            <w:r w:rsidRPr="005F1FAF">
              <w:rPr>
                <w:b/>
              </w:rPr>
              <w:t xml:space="preserve"> </w:t>
            </w:r>
            <w:proofErr w:type="spellStart"/>
            <w:r w:rsidRPr="005F1FAF">
              <w:rPr>
                <w:b/>
              </w:rPr>
              <w:t>poziția</w:t>
            </w:r>
            <w:proofErr w:type="spellEnd"/>
            <w:r w:rsidRPr="005F1FAF">
              <w:rPr>
                <w:b/>
              </w:rPr>
              <w:t xml:space="preserve"> </w:t>
            </w:r>
            <w:proofErr w:type="spellStart"/>
            <w:r w:rsidRPr="005F1FAF">
              <w:rPr>
                <w:b/>
              </w:rPr>
              <w:t>nr</w:t>
            </w:r>
            <w:proofErr w:type="spellEnd"/>
            <w:r w:rsidRPr="005F1FAF">
              <w:rPr>
                <w:b/>
              </w:rPr>
              <w:t xml:space="preserve">. </w:t>
            </w:r>
            <w:proofErr w:type="spellStart"/>
            <w:proofErr w:type="gramStart"/>
            <w:r w:rsidRPr="005F1FAF">
              <w:rPr>
                <w:b/>
              </w:rPr>
              <w:t>crt</w:t>
            </w:r>
            <w:proofErr w:type="spellEnd"/>
            <w:proofErr w:type="gramEnd"/>
            <w:r w:rsidRPr="005F1FAF">
              <w:rPr>
                <w:b/>
              </w:rPr>
              <w:t>. 132</w:t>
            </w:r>
            <w:r w:rsidR="004738F8" w:rsidRPr="005F1FAF">
              <w:rPr>
                <w:b/>
              </w:rPr>
              <w:t>¹</w:t>
            </w:r>
            <w:r w:rsidR="004738F8" w:rsidRPr="005F1FAF">
              <w:t xml:space="preserve">, </w:t>
            </w:r>
            <w:proofErr w:type="spellStart"/>
            <w:r w:rsidR="004738F8" w:rsidRPr="005F1FAF">
              <w:t>rezultată</w:t>
            </w:r>
            <w:proofErr w:type="spellEnd"/>
            <w:r w:rsidR="004738F8" w:rsidRPr="005F1FAF">
              <w:t xml:space="preserve"> ca </w:t>
            </w:r>
            <w:proofErr w:type="spellStart"/>
            <w:r w:rsidR="004738F8" w:rsidRPr="005F1FAF">
              <w:t>urmare</w:t>
            </w:r>
            <w:proofErr w:type="spellEnd"/>
            <w:r w:rsidR="004738F8" w:rsidRPr="005F1FAF">
              <w:t xml:space="preserve"> </w:t>
            </w:r>
            <w:proofErr w:type="gramStart"/>
            <w:r w:rsidR="004738F8" w:rsidRPr="005F1FAF">
              <w:t>a</w:t>
            </w:r>
            <w:proofErr w:type="gramEnd"/>
            <w:r w:rsidR="004738F8" w:rsidRPr="005F1FAF">
              <w:t xml:space="preserve"> </w:t>
            </w:r>
            <w:proofErr w:type="spellStart"/>
            <w:r w:rsidR="004738F8" w:rsidRPr="005F1FAF">
              <w:t>întocmirii</w:t>
            </w:r>
            <w:proofErr w:type="spellEnd"/>
            <w:r w:rsidR="004738F8" w:rsidRPr="005F1FAF">
              <w:t xml:space="preserve"> </w:t>
            </w:r>
            <w:proofErr w:type="spellStart"/>
            <w:r w:rsidR="004738F8" w:rsidRPr="005F1FAF">
              <w:t>documentației</w:t>
            </w:r>
            <w:proofErr w:type="spellEnd"/>
            <w:r w:rsidR="004738F8" w:rsidRPr="005F1FAF">
              <w:t xml:space="preserve"> </w:t>
            </w:r>
            <w:proofErr w:type="spellStart"/>
            <w:r w:rsidR="004738F8" w:rsidRPr="005F1FAF">
              <w:t>cadastrale</w:t>
            </w:r>
            <w:proofErr w:type="spellEnd"/>
            <w:r w:rsidR="004738F8" w:rsidRPr="005F1FAF">
              <w:t xml:space="preserve"> </w:t>
            </w:r>
            <w:proofErr w:type="spellStart"/>
            <w:r w:rsidR="004738F8" w:rsidRPr="005F1FAF">
              <w:t>și</w:t>
            </w:r>
            <w:proofErr w:type="spellEnd"/>
            <w:r w:rsidR="004738F8" w:rsidRPr="005F1FAF">
              <w:t xml:space="preserve"> care face parte din </w:t>
            </w:r>
            <w:proofErr w:type="spellStart"/>
            <w:r w:rsidR="004738F8" w:rsidRPr="005F1FAF">
              <w:t>coridorul</w:t>
            </w:r>
            <w:proofErr w:type="spellEnd"/>
            <w:r w:rsidR="004738F8" w:rsidRPr="005F1FAF">
              <w:t xml:space="preserve"> de </w:t>
            </w:r>
            <w:proofErr w:type="spellStart"/>
            <w:r w:rsidR="004738F8" w:rsidRPr="005F1FAF">
              <w:t>expropriere</w:t>
            </w:r>
            <w:proofErr w:type="spellEnd"/>
            <w:r w:rsidR="004738F8" w:rsidRPr="005F1FAF">
              <w:t xml:space="preserve"> </w:t>
            </w:r>
            <w:proofErr w:type="spellStart"/>
            <w:r w:rsidR="004738F8" w:rsidRPr="005F1FAF">
              <w:t>situat</w:t>
            </w:r>
            <w:proofErr w:type="spellEnd"/>
            <w:r w:rsidR="004738F8" w:rsidRPr="005F1FAF">
              <w:t xml:space="preserve"> </w:t>
            </w:r>
            <w:proofErr w:type="spellStart"/>
            <w:r w:rsidR="004738F8" w:rsidRPr="005F1FAF">
              <w:t>pe</w:t>
            </w:r>
            <w:proofErr w:type="spellEnd"/>
            <w:r w:rsidR="004738F8" w:rsidRPr="005F1FAF">
              <w:t xml:space="preserve"> </w:t>
            </w:r>
            <w:proofErr w:type="spellStart"/>
            <w:r w:rsidR="004738F8" w:rsidRPr="005F1FAF">
              <w:t>amplasamentul</w:t>
            </w:r>
            <w:proofErr w:type="spellEnd"/>
            <w:r w:rsidR="004738F8" w:rsidRPr="005F1FAF">
              <w:t xml:space="preserve"> </w:t>
            </w:r>
            <w:proofErr w:type="spellStart"/>
            <w:r w:rsidR="004738F8" w:rsidRPr="005F1FAF">
              <w:t>aprobat</w:t>
            </w:r>
            <w:proofErr w:type="spellEnd"/>
            <w:r w:rsidR="004738F8" w:rsidRPr="005F1FAF">
              <w:t xml:space="preserve"> </w:t>
            </w:r>
            <w:proofErr w:type="spellStart"/>
            <w:r w:rsidR="004738F8" w:rsidRPr="005F1FAF">
              <w:t>prin</w:t>
            </w:r>
            <w:proofErr w:type="spellEnd"/>
            <w:r w:rsidR="004738F8" w:rsidRPr="005F1FAF">
              <w:t xml:space="preserve"> </w:t>
            </w:r>
            <w:proofErr w:type="spellStart"/>
            <w:r w:rsidR="004738F8" w:rsidRPr="005F1FAF">
              <w:t>Ho</w:t>
            </w:r>
            <w:r w:rsidRPr="005F1FAF">
              <w:t>tărârea</w:t>
            </w:r>
            <w:proofErr w:type="spellEnd"/>
            <w:r w:rsidRPr="005F1FAF">
              <w:t xml:space="preserve"> </w:t>
            </w:r>
            <w:proofErr w:type="spellStart"/>
            <w:r w:rsidRPr="005F1FAF">
              <w:t>Guvernului</w:t>
            </w:r>
            <w:proofErr w:type="spellEnd"/>
            <w:r w:rsidRPr="005F1FAF">
              <w:t xml:space="preserve"> </w:t>
            </w:r>
            <w:proofErr w:type="spellStart"/>
            <w:r w:rsidRPr="005F1FAF">
              <w:t>nr</w:t>
            </w:r>
            <w:proofErr w:type="spellEnd"/>
            <w:r w:rsidRPr="005F1FAF">
              <w:t>. 499/2010</w:t>
            </w:r>
            <w:r w:rsidR="00CA1D2E" w:rsidRPr="005F1FAF">
              <w:t>,</w:t>
            </w:r>
            <w:r w:rsidRPr="005F1FAF">
              <w:t xml:space="preserve"> cu </w:t>
            </w:r>
            <w:proofErr w:type="spellStart"/>
            <w:r w:rsidRPr="005F1FAF">
              <w:t>modificările</w:t>
            </w:r>
            <w:proofErr w:type="spellEnd"/>
            <w:r w:rsidRPr="005F1FAF">
              <w:t xml:space="preserve"> </w:t>
            </w:r>
            <w:proofErr w:type="spellStart"/>
            <w:r w:rsidRPr="005F1FAF">
              <w:t>și</w:t>
            </w:r>
            <w:proofErr w:type="spellEnd"/>
            <w:r w:rsidRPr="005F1FAF">
              <w:t xml:space="preserve"> </w:t>
            </w:r>
            <w:proofErr w:type="spellStart"/>
            <w:r w:rsidRPr="005F1FAF">
              <w:t>completările</w:t>
            </w:r>
            <w:proofErr w:type="spellEnd"/>
            <w:r w:rsidRPr="005F1FAF">
              <w:t xml:space="preserve"> </w:t>
            </w:r>
            <w:proofErr w:type="spellStart"/>
            <w:r w:rsidRPr="005F1FAF">
              <w:t>ulterioare</w:t>
            </w:r>
            <w:proofErr w:type="spellEnd"/>
            <w:r w:rsidR="004738F8" w:rsidRPr="005F1FAF">
              <w:t>;</w:t>
            </w:r>
          </w:p>
          <w:p w:rsidR="00C141CE" w:rsidRPr="005F1FAF" w:rsidRDefault="00C141CE" w:rsidP="00B0425D">
            <w:pPr>
              <w:shd w:val="clear" w:color="auto" w:fill="FFFFFF"/>
              <w:jc w:val="both"/>
              <w:rPr>
                <w:sz w:val="16"/>
                <w:szCs w:val="16"/>
              </w:rPr>
            </w:pPr>
          </w:p>
          <w:p w:rsidR="004738F8" w:rsidRPr="005F1FAF" w:rsidRDefault="004738F8" w:rsidP="00B0425D">
            <w:pPr>
              <w:pStyle w:val="ListParagraph"/>
              <w:numPr>
                <w:ilvl w:val="0"/>
                <w:numId w:val="16"/>
              </w:numPr>
              <w:shd w:val="clear" w:color="auto" w:fill="FFFFFF"/>
              <w:ind w:left="0" w:firstLine="0"/>
              <w:jc w:val="both"/>
            </w:pPr>
            <w:r w:rsidRPr="005F1FAF">
              <w:rPr>
                <w:b/>
              </w:rPr>
              <w:t>L</w:t>
            </w:r>
            <w:r w:rsidR="00C141CE" w:rsidRPr="005F1FAF">
              <w:rPr>
                <w:b/>
              </w:rPr>
              <w:t xml:space="preserve">a </w:t>
            </w:r>
            <w:proofErr w:type="spellStart"/>
            <w:r w:rsidR="00C141CE" w:rsidRPr="005F1FAF">
              <w:rPr>
                <w:b/>
              </w:rPr>
              <w:t>pozițiile</w:t>
            </w:r>
            <w:proofErr w:type="spellEnd"/>
            <w:r w:rsidR="00C141CE" w:rsidRPr="005F1FAF">
              <w:rPr>
                <w:b/>
              </w:rPr>
              <w:t xml:space="preserve"> </w:t>
            </w:r>
            <w:proofErr w:type="spellStart"/>
            <w:r w:rsidR="00C141CE" w:rsidRPr="005F1FAF">
              <w:rPr>
                <w:b/>
              </w:rPr>
              <w:t>nr</w:t>
            </w:r>
            <w:proofErr w:type="spellEnd"/>
            <w:r w:rsidR="00C141CE" w:rsidRPr="005F1FAF">
              <w:rPr>
                <w:b/>
              </w:rPr>
              <w:t xml:space="preserve">. </w:t>
            </w:r>
            <w:proofErr w:type="spellStart"/>
            <w:proofErr w:type="gramStart"/>
            <w:r w:rsidR="00C141CE" w:rsidRPr="005F1FAF">
              <w:rPr>
                <w:b/>
              </w:rPr>
              <w:t>crt</w:t>
            </w:r>
            <w:proofErr w:type="spellEnd"/>
            <w:proofErr w:type="gramEnd"/>
            <w:r w:rsidR="00C141CE" w:rsidRPr="005F1FAF">
              <w:rPr>
                <w:b/>
              </w:rPr>
              <w:t xml:space="preserve">. </w:t>
            </w:r>
            <w:proofErr w:type="gramStart"/>
            <w:r w:rsidR="00C141CE" w:rsidRPr="005F1FAF">
              <w:rPr>
                <w:b/>
              </w:rPr>
              <w:t>3</w:t>
            </w:r>
            <w:proofErr w:type="gramEnd"/>
            <w:r w:rsidR="00C141CE" w:rsidRPr="005F1FAF">
              <w:rPr>
                <w:b/>
              </w:rPr>
              <w:t xml:space="preserve">, 93 </w:t>
            </w:r>
            <w:proofErr w:type="spellStart"/>
            <w:r w:rsidR="00C141CE" w:rsidRPr="005F1FAF">
              <w:rPr>
                <w:b/>
              </w:rPr>
              <w:t>și</w:t>
            </w:r>
            <w:proofErr w:type="spellEnd"/>
            <w:r w:rsidR="00C141CE" w:rsidRPr="005F1FAF">
              <w:rPr>
                <w:b/>
              </w:rPr>
              <w:t xml:space="preserve"> 151</w:t>
            </w:r>
            <w:r w:rsidRPr="005F1FAF">
              <w:t xml:space="preserve">, </w:t>
            </w:r>
            <w:r w:rsidRPr="005F1FAF">
              <w:rPr>
                <w:b/>
              </w:rPr>
              <w:t xml:space="preserve">se </w:t>
            </w:r>
            <w:proofErr w:type="spellStart"/>
            <w:r w:rsidRPr="005F1FAF">
              <w:rPr>
                <w:b/>
              </w:rPr>
              <w:t>introduc</w:t>
            </w:r>
            <w:proofErr w:type="spellEnd"/>
            <w:r w:rsidRPr="005F1FAF">
              <w:t xml:space="preserve"> </w:t>
            </w:r>
            <w:proofErr w:type="spellStart"/>
            <w:r w:rsidRPr="005F1FAF">
              <w:t>imobilele</w:t>
            </w:r>
            <w:proofErr w:type="spellEnd"/>
            <w:r w:rsidRPr="005F1FAF">
              <w:t xml:space="preserve"> </w:t>
            </w:r>
            <w:proofErr w:type="spellStart"/>
            <w:r w:rsidRPr="005F1FAF">
              <w:t>proprietate</w:t>
            </w:r>
            <w:proofErr w:type="spellEnd"/>
            <w:r w:rsidRPr="005F1FAF">
              <w:t xml:space="preserve"> </w:t>
            </w:r>
            <w:proofErr w:type="spellStart"/>
            <w:r w:rsidRPr="005F1FAF">
              <w:t>privată</w:t>
            </w:r>
            <w:proofErr w:type="spellEnd"/>
            <w:r w:rsidRPr="005F1FAF">
              <w:t xml:space="preserve"> </w:t>
            </w:r>
            <w:proofErr w:type="spellStart"/>
            <w:r w:rsidRPr="005F1FAF">
              <w:rPr>
                <w:b/>
              </w:rPr>
              <w:t>reprezentând</w:t>
            </w:r>
            <w:proofErr w:type="spellEnd"/>
            <w:r w:rsidRPr="005F1FAF">
              <w:rPr>
                <w:b/>
              </w:rPr>
              <w:t xml:space="preserve"> </w:t>
            </w:r>
            <w:proofErr w:type="spellStart"/>
            <w:r w:rsidRPr="005F1FAF">
              <w:rPr>
                <w:b/>
              </w:rPr>
              <w:t>construcții</w:t>
            </w:r>
            <w:proofErr w:type="spellEnd"/>
            <w:r w:rsidRPr="005F1FAF">
              <w:rPr>
                <w:b/>
              </w:rPr>
              <w:t xml:space="preserve"> situate </w:t>
            </w:r>
            <w:proofErr w:type="spellStart"/>
            <w:r w:rsidRPr="005F1FAF">
              <w:rPr>
                <w:b/>
              </w:rPr>
              <w:t>pe</w:t>
            </w:r>
            <w:proofErr w:type="spellEnd"/>
            <w:r w:rsidRPr="005F1FAF">
              <w:rPr>
                <w:b/>
              </w:rPr>
              <w:t xml:space="preserve"> </w:t>
            </w:r>
            <w:proofErr w:type="spellStart"/>
            <w:r w:rsidRPr="005F1FAF">
              <w:rPr>
                <w:b/>
              </w:rPr>
              <w:t>terenul</w:t>
            </w:r>
            <w:proofErr w:type="spellEnd"/>
            <w:r w:rsidRPr="005F1FAF">
              <w:rPr>
                <w:b/>
              </w:rPr>
              <w:t xml:space="preserve"> </w:t>
            </w:r>
            <w:proofErr w:type="spellStart"/>
            <w:r w:rsidRPr="005F1FAF">
              <w:rPr>
                <w:b/>
              </w:rPr>
              <w:t>supus</w:t>
            </w:r>
            <w:proofErr w:type="spellEnd"/>
            <w:r w:rsidRPr="005F1FAF">
              <w:rPr>
                <w:b/>
              </w:rPr>
              <w:t xml:space="preserve"> </w:t>
            </w:r>
            <w:proofErr w:type="spellStart"/>
            <w:r w:rsidRPr="005F1FAF">
              <w:rPr>
                <w:b/>
              </w:rPr>
              <w:t>exproprierii</w:t>
            </w:r>
            <w:proofErr w:type="spellEnd"/>
            <w:r w:rsidRPr="005F1FAF">
              <w:t xml:space="preserve"> </w:t>
            </w:r>
            <w:proofErr w:type="spellStart"/>
            <w:r w:rsidRPr="005F1FAF">
              <w:t>în</w:t>
            </w:r>
            <w:proofErr w:type="spellEnd"/>
            <w:r w:rsidRPr="005F1FAF">
              <w:t xml:space="preserve"> </w:t>
            </w:r>
            <w:proofErr w:type="spellStart"/>
            <w:r w:rsidRPr="005F1FAF">
              <w:t>condițiile</w:t>
            </w:r>
            <w:proofErr w:type="spellEnd"/>
            <w:r w:rsidRPr="005F1FAF">
              <w:t xml:space="preserve"> </w:t>
            </w:r>
            <w:proofErr w:type="spellStart"/>
            <w:r w:rsidRPr="005F1FAF">
              <w:t>legii</w:t>
            </w:r>
            <w:proofErr w:type="spellEnd"/>
            <w:r w:rsidRPr="005F1FAF">
              <w:t>, care</w:t>
            </w:r>
            <w:r w:rsidR="00C141CE" w:rsidRPr="005F1FAF">
              <w:t xml:space="preserve"> </w:t>
            </w:r>
            <w:proofErr w:type="spellStart"/>
            <w:r w:rsidRPr="005F1FAF">
              <w:t>fac</w:t>
            </w:r>
            <w:proofErr w:type="spellEnd"/>
            <w:r w:rsidRPr="005F1FAF">
              <w:t xml:space="preserve"> parte din </w:t>
            </w:r>
            <w:proofErr w:type="spellStart"/>
            <w:r w:rsidRPr="005F1FAF">
              <w:t>coridorul</w:t>
            </w:r>
            <w:proofErr w:type="spellEnd"/>
            <w:r w:rsidRPr="005F1FAF">
              <w:t xml:space="preserve"> de </w:t>
            </w:r>
            <w:proofErr w:type="spellStart"/>
            <w:r w:rsidRPr="005F1FAF">
              <w:t>expropriere</w:t>
            </w:r>
            <w:proofErr w:type="spellEnd"/>
            <w:r w:rsidRPr="005F1FAF">
              <w:t xml:space="preserve"> situate </w:t>
            </w:r>
            <w:proofErr w:type="spellStart"/>
            <w:r w:rsidRPr="005F1FAF">
              <w:t>pe</w:t>
            </w:r>
            <w:proofErr w:type="spellEnd"/>
            <w:r w:rsidRPr="005F1FAF">
              <w:t xml:space="preserve"> </w:t>
            </w:r>
            <w:proofErr w:type="spellStart"/>
            <w:r w:rsidRPr="005F1FAF">
              <w:t>amplasamentul</w:t>
            </w:r>
            <w:proofErr w:type="spellEnd"/>
            <w:r w:rsidRPr="005F1FAF">
              <w:t xml:space="preserve"> </w:t>
            </w:r>
            <w:proofErr w:type="spellStart"/>
            <w:r w:rsidRPr="005F1FAF">
              <w:t>aprobat</w:t>
            </w:r>
            <w:proofErr w:type="spellEnd"/>
            <w:r w:rsidRPr="005F1FAF">
              <w:t xml:space="preserve"> </w:t>
            </w:r>
            <w:proofErr w:type="spellStart"/>
            <w:r w:rsidRPr="005F1FAF">
              <w:t>prin</w:t>
            </w:r>
            <w:proofErr w:type="spellEnd"/>
            <w:r w:rsidRPr="005F1FAF">
              <w:t xml:space="preserve"> </w:t>
            </w:r>
            <w:proofErr w:type="spellStart"/>
            <w:r w:rsidRPr="005F1FAF">
              <w:t>Hotărârea</w:t>
            </w:r>
            <w:proofErr w:type="spellEnd"/>
            <w:r w:rsidRPr="005F1FAF">
              <w:t xml:space="preserve"> </w:t>
            </w:r>
            <w:proofErr w:type="spellStart"/>
            <w:r w:rsidRPr="005F1FAF">
              <w:t>Guvernului</w:t>
            </w:r>
            <w:proofErr w:type="spellEnd"/>
            <w:r w:rsidRPr="005F1FAF">
              <w:t xml:space="preserve"> </w:t>
            </w:r>
            <w:proofErr w:type="spellStart"/>
            <w:r w:rsidRPr="005F1FAF">
              <w:t>nr</w:t>
            </w:r>
            <w:proofErr w:type="spellEnd"/>
            <w:r w:rsidRPr="005F1FAF">
              <w:t xml:space="preserve">. </w:t>
            </w:r>
            <w:r w:rsidR="00C141CE" w:rsidRPr="005F1FAF">
              <w:t>499/2010</w:t>
            </w:r>
            <w:r w:rsidR="00CA1D2E" w:rsidRPr="005F1FAF">
              <w:t>,</w:t>
            </w:r>
            <w:r w:rsidR="00C141CE" w:rsidRPr="005F1FAF">
              <w:t xml:space="preserve"> cu </w:t>
            </w:r>
            <w:proofErr w:type="spellStart"/>
            <w:r w:rsidR="00C141CE" w:rsidRPr="005F1FAF">
              <w:t>modificările</w:t>
            </w:r>
            <w:proofErr w:type="spellEnd"/>
            <w:r w:rsidR="00C141CE" w:rsidRPr="005F1FAF">
              <w:t xml:space="preserve"> </w:t>
            </w:r>
            <w:proofErr w:type="spellStart"/>
            <w:r w:rsidR="00C141CE" w:rsidRPr="005F1FAF">
              <w:t>și</w:t>
            </w:r>
            <w:proofErr w:type="spellEnd"/>
            <w:r w:rsidR="00C141CE" w:rsidRPr="005F1FAF">
              <w:t xml:space="preserve"> </w:t>
            </w:r>
            <w:proofErr w:type="spellStart"/>
            <w:r w:rsidR="00C141CE" w:rsidRPr="005F1FAF">
              <w:t>completările</w:t>
            </w:r>
            <w:proofErr w:type="spellEnd"/>
            <w:r w:rsidR="00C141CE" w:rsidRPr="005F1FAF">
              <w:t xml:space="preserve"> </w:t>
            </w:r>
            <w:proofErr w:type="spellStart"/>
            <w:r w:rsidR="00C141CE" w:rsidRPr="005F1FAF">
              <w:t>ulterioare</w:t>
            </w:r>
            <w:proofErr w:type="spellEnd"/>
            <w:r w:rsidRPr="005F1FAF">
              <w:t>;</w:t>
            </w:r>
          </w:p>
          <w:p w:rsidR="004738F8" w:rsidRPr="005F1FAF" w:rsidRDefault="004738F8" w:rsidP="00B0425D">
            <w:pPr>
              <w:shd w:val="clear" w:color="auto" w:fill="FFFFFF"/>
              <w:jc w:val="both"/>
              <w:rPr>
                <w:sz w:val="16"/>
                <w:szCs w:val="16"/>
              </w:rPr>
            </w:pPr>
          </w:p>
          <w:p w:rsidR="004738F8" w:rsidRPr="005F1FAF" w:rsidRDefault="004738F8" w:rsidP="006339ED">
            <w:pPr>
              <w:pStyle w:val="ListParagraph"/>
              <w:numPr>
                <w:ilvl w:val="0"/>
                <w:numId w:val="16"/>
              </w:numPr>
              <w:shd w:val="clear" w:color="auto" w:fill="FFFFFF"/>
              <w:ind w:left="0" w:hanging="20"/>
              <w:jc w:val="both"/>
            </w:pPr>
            <w:proofErr w:type="spellStart"/>
            <w:r w:rsidRPr="005F1FAF">
              <w:t>Aprobarea</w:t>
            </w:r>
            <w:proofErr w:type="spellEnd"/>
            <w:r w:rsidRPr="005F1FAF">
              <w:t xml:space="preserve"> </w:t>
            </w:r>
            <w:proofErr w:type="spellStart"/>
            <w:r w:rsidRPr="005F1FAF">
              <w:t>declanșării</w:t>
            </w:r>
            <w:proofErr w:type="spellEnd"/>
            <w:r w:rsidRPr="005F1FAF">
              <w:t xml:space="preserve"> </w:t>
            </w:r>
            <w:proofErr w:type="spellStart"/>
            <w:r w:rsidRPr="005F1FAF">
              <w:t>proceduri</w:t>
            </w:r>
            <w:r w:rsidR="00C141CE" w:rsidRPr="005F1FAF">
              <w:t>i</w:t>
            </w:r>
            <w:proofErr w:type="spellEnd"/>
            <w:r w:rsidR="00C141CE" w:rsidRPr="005F1FAF">
              <w:t xml:space="preserve"> de </w:t>
            </w:r>
            <w:proofErr w:type="spellStart"/>
            <w:r w:rsidR="00C141CE" w:rsidRPr="005F1FAF">
              <w:t>expropriere</w:t>
            </w:r>
            <w:proofErr w:type="spellEnd"/>
            <w:r w:rsidR="00C141CE" w:rsidRPr="005F1FAF">
              <w:t xml:space="preserve"> </w:t>
            </w:r>
            <w:proofErr w:type="spellStart"/>
            <w:r w:rsidR="00C141CE" w:rsidRPr="005F1FAF">
              <w:t>pentru</w:t>
            </w:r>
            <w:proofErr w:type="spellEnd"/>
            <w:r w:rsidR="00C141CE" w:rsidRPr="005F1FAF">
              <w:t xml:space="preserve"> </w:t>
            </w:r>
            <w:proofErr w:type="spellStart"/>
            <w:r w:rsidR="00C141CE" w:rsidRPr="005F1FAF">
              <w:t>imobilele</w:t>
            </w:r>
            <w:proofErr w:type="spellEnd"/>
            <w:r w:rsidRPr="005F1FAF">
              <w:t xml:space="preserve"> </w:t>
            </w:r>
            <w:proofErr w:type="spellStart"/>
            <w:r w:rsidRPr="005F1FAF">
              <w:t>proprietate</w:t>
            </w:r>
            <w:proofErr w:type="spellEnd"/>
            <w:r w:rsidRPr="005F1FAF">
              <w:t xml:space="preserve"> </w:t>
            </w:r>
            <w:proofErr w:type="spellStart"/>
            <w:r w:rsidRPr="005F1FAF">
              <w:t>privată</w:t>
            </w:r>
            <w:proofErr w:type="spellEnd"/>
            <w:r w:rsidRPr="005F1FAF">
              <w:t xml:space="preserve">, </w:t>
            </w:r>
            <w:proofErr w:type="spellStart"/>
            <w:r w:rsidRPr="005F1FAF">
              <w:t>reprezentând</w:t>
            </w:r>
            <w:proofErr w:type="spellEnd"/>
            <w:r w:rsidRPr="005F1FAF">
              <w:t xml:space="preserve"> </w:t>
            </w:r>
            <w:proofErr w:type="spellStart"/>
            <w:r w:rsidRPr="005F1FAF">
              <w:t>construcții</w:t>
            </w:r>
            <w:proofErr w:type="spellEnd"/>
            <w:r w:rsidRPr="005F1FAF">
              <w:t xml:space="preserve">, care nu a </w:t>
            </w:r>
            <w:proofErr w:type="spellStart"/>
            <w:r w:rsidRPr="005F1FAF">
              <w:t>fost</w:t>
            </w:r>
            <w:proofErr w:type="spellEnd"/>
            <w:r w:rsidRPr="005F1FAF">
              <w:t xml:space="preserve"> </w:t>
            </w:r>
            <w:proofErr w:type="spellStart"/>
            <w:r w:rsidRPr="005F1FAF">
              <w:t>supus</w:t>
            </w:r>
            <w:proofErr w:type="spellEnd"/>
            <w:r w:rsidRPr="005F1FAF">
              <w:t xml:space="preserve"> </w:t>
            </w:r>
            <w:proofErr w:type="spellStart"/>
            <w:r w:rsidRPr="005F1FAF">
              <w:t>procedur</w:t>
            </w:r>
            <w:r w:rsidR="00C141CE" w:rsidRPr="005F1FAF">
              <w:t>ii</w:t>
            </w:r>
            <w:proofErr w:type="spellEnd"/>
            <w:r w:rsidR="00C141CE" w:rsidRPr="005F1FAF">
              <w:t xml:space="preserve"> de </w:t>
            </w:r>
            <w:proofErr w:type="spellStart"/>
            <w:r w:rsidR="00C141CE" w:rsidRPr="005F1FAF">
              <w:t>expropriere</w:t>
            </w:r>
            <w:proofErr w:type="spellEnd"/>
            <w:r w:rsidR="00C141CE" w:rsidRPr="005F1FAF">
              <w:t xml:space="preserve">, de la </w:t>
            </w:r>
            <w:proofErr w:type="spellStart"/>
            <w:r w:rsidR="00C141CE" w:rsidRPr="005F1FAF">
              <w:rPr>
                <w:b/>
              </w:rPr>
              <w:t>pozițiile</w:t>
            </w:r>
            <w:proofErr w:type="spellEnd"/>
            <w:r w:rsidR="00C141CE" w:rsidRPr="005F1FAF">
              <w:rPr>
                <w:b/>
              </w:rPr>
              <w:t xml:space="preserve"> </w:t>
            </w:r>
            <w:proofErr w:type="spellStart"/>
            <w:r w:rsidR="00C141CE" w:rsidRPr="005F1FAF">
              <w:rPr>
                <w:b/>
              </w:rPr>
              <w:t>nr</w:t>
            </w:r>
            <w:proofErr w:type="spellEnd"/>
            <w:r w:rsidR="00C141CE" w:rsidRPr="005F1FAF">
              <w:rPr>
                <w:b/>
              </w:rPr>
              <w:t xml:space="preserve">. </w:t>
            </w:r>
            <w:proofErr w:type="spellStart"/>
            <w:proofErr w:type="gramStart"/>
            <w:r w:rsidR="00C141CE" w:rsidRPr="005F1FAF">
              <w:rPr>
                <w:b/>
              </w:rPr>
              <w:t>crt</w:t>
            </w:r>
            <w:proofErr w:type="spellEnd"/>
            <w:proofErr w:type="gramEnd"/>
            <w:r w:rsidR="00C141CE" w:rsidRPr="005F1FAF">
              <w:rPr>
                <w:b/>
              </w:rPr>
              <w:t xml:space="preserve">. 3, 93 </w:t>
            </w:r>
            <w:proofErr w:type="spellStart"/>
            <w:r w:rsidR="00C141CE" w:rsidRPr="005F1FAF">
              <w:rPr>
                <w:b/>
              </w:rPr>
              <w:t>și</w:t>
            </w:r>
            <w:proofErr w:type="spellEnd"/>
            <w:r w:rsidR="00C141CE" w:rsidRPr="005F1FAF">
              <w:rPr>
                <w:b/>
              </w:rPr>
              <w:t xml:space="preserve"> 151</w:t>
            </w:r>
            <w:r w:rsidRPr="005F1FAF">
              <w:t>.</w:t>
            </w:r>
          </w:p>
          <w:p w:rsidR="004738F8" w:rsidRPr="005F1FAF" w:rsidRDefault="004738F8" w:rsidP="00B0425D">
            <w:pPr>
              <w:shd w:val="clear" w:color="auto" w:fill="FFFFFF"/>
              <w:jc w:val="both"/>
              <w:rPr>
                <w:sz w:val="16"/>
                <w:szCs w:val="16"/>
              </w:rPr>
            </w:pPr>
          </w:p>
          <w:p w:rsidR="00C141CE" w:rsidRPr="005F1FAF" w:rsidRDefault="00C141CE" w:rsidP="00B0425D">
            <w:pPr>
              <w:autoSpaceDE w:val="0"/>
              <w:autoSpaceDN w:val="0"/>
              <w:adjustRightInd w:val="0"/>
              <w:jc w:val="both"/>
              <w:rPr>
                <w:sz w:val="24"/>
                <w:szCs w:val="24"/>
              </w:rPr>
            </w:pPr>
            <w:r w:rsidRPr="005F1FAF">
              <w:rPr>
                <w:bCs/>
                <w:color w:val="000000"/>
                <w:sz w:val="24"/>
                <w:szCs w:val="24"/>
              </w:rPr>
              <w:t xml:space="preserve">Suma de </w:t>
            </w:r>
            <w:r w:rsidR="00871DFC" w:rsidRPr="005F1FAF">
              <w:rPr>
                <w:b/>
                <w:bCs/>
                <w:sz w:val="24"/>
                <w:szCs w:val="24"/>
                <w:u w:val="single"/>
              </w:rPr>
              <w:t>947.360,20 lei</w:t>
            </w:r>
            <w:r w:rsidRPr="005F1FAF">
              <w:rPr>
                <w:bCs/>
                <w:color w:val="000000"/>
                <w:sz w:val="24"/>
                <w:szCs w:val="24"/>
              </w:rPr>
              <w:t xml:space="preserve">, aferentă plății despăgubirilor pentru imobilele proprietate privată care fac parte din coridorul de expropriere al lucrării de utilitate publică din cadrul obiectivului de interes național, reprezentând terenuri cu sau fără investiții, prevăzută în anexa la proiectul de Hotărâre a Guvernului, rezultă din raportul de evaluare întocmit în luna </w:t>
            </w:r>
            <w:r w:rsidRPr="005F1FAF">
              <w:rPr>
                <w:sz w:val="24"/>
                <w:szCs w:val="24"/>
              </w:rPr>
              <w:t>martie 2021</w:t>
            </w:r>
            <w:r w:rsidRPr="005F1FAF">
              <w:rPr>
                <w:bCs/>
                <w:color w:val="000000"/>
                <w:sz w:val="24"/>
                <w:szCs w:val="24"/>
              </w:rPr>
              <w:t>, de către expertul autorizat ANEVAR, respectiv dna</w:t>
            </w:r>
            <w:r w:rsidR="00CA1D2E" w:rsidRPr="005F1FAF">
              <w:rPr>
                <w:bCs/>
                <w:color w:val="000000"/>
                <w:sz w:val="24"/>
                <w:szCs w:val="24"/>
              </w:rPr>
              <w:t>.</w:t>
            </w:r>
            <w:r w:rsidRPr="005F1FAF">
              <w:rPr>
                <w:bCs/>
                <w:color w:val="000000"/>
                <w:sz w:val="24"/>
                <w:szCs w:val="24"/>
              </w:rPr>
              <w:t xml:space="preserve"> Georgescu Geta-Stela, având legitimația nr. 12766 valabilă pe anul 2021, </w:t>
            </w:r>
            <w:r w:rsidRPr="005F1FAF">
              <w:rPr>
                <w:sz w:val="24"/>
                <w:szCs w:val="24"/>
              </w:rPr>
              <w:t>în conformitate cu dispozițiile Legii nr. 255/2010</w:t>
            </w:r>
            <w:r w:rsidR="00CA1D2E" w:rsidRPr="005F1FAF">
              <w:rPr>
                <w:sz w:val="24"/>
                <w:szCs w:val="24"/>
              </w:rPr>
              <w:t xml:space="preserve">, </w:t>
            </w:r>
            <w:r w:rsidRPr="005F1FAF">
              <w:rPr>
                <w:sz w:val="24"/>
                <w:szCs w:val="24"/>
              </w:rPr>
              <w:t xml:space="preserve">cu modificările </w:t>
            </w:r>
            <w:proofErr w:type="spellStart"/>
            <w:r w:rsidRPr="005F1FAF">
              <w:rPr>
                <w:sz w:val="24"/>
                <w:szCs w:val="24"/>
              </w:rPr>
              <w:t>şi</w:t>
            </w:r>
            <w:proofErr w:type="spellEnd"/>
            <w:r w:rsidRPr="005F1FAF">
              <w:rPr>
                <w:sz w:val="24"/>
                <w:szCs w:val="24"/>
              </w:rPr>
              <w:t xml:space="preserve"> completările ulterioare </w:t>
            </w:r>
            <w:proofErr w:type="spellStart"/>
            <w:r w:rsidRPr="005F1FAF">
              <w:rPr>
                <w:sz w:val="24"/>
                <w:szCs w:val="24"/>
              </w:rPr>
              <w:t>şi</w:t>
            </w:r>
            <w:proofErr w:type="spellEnd"/>
            <w:r w:rsidRPr="005F1FAF">
              <w:rPr>
                <w:sz w:val="24"/>
                <w:szCs w:val="24"/>
              </w:rPr>
              <w:t xml:space="preserve"> ale Hotărârii Guvernului nr. 53/2011 pentru aprobarea Normelor Metodologice de aplicare a acesteia.</w:t>
            </w:r>
          </w:p>
          <w:p w:rsidR="00C141CE" w:rsidRPr="005F1FAF" w:rsidRDefault="00C141CE" w:rsidP="00B0425D">
            <w:pPr>
              <w:autoSpaceDE w:val="0"/>
              <w:autoSpaceDN w:val="0"/>
              <w:adjustRightInd w:val="0"/>
              <w:jc w:val="both"/>
              <w:rPr>
                <w:sz w:val="24"/>
                <w:szCs w:val="24"/>
              </w:rPr>
            </w:pPr>
            <w:r w:rsidRPr="005F1FAF">
              <w:rPr>
                <w:sz w:val="24"/>
                <w:szCs w:val="24"/>
              </w:rPr>
              <w:t xml:space="preserve">Astfel, în conformitate cu dispozițiile legale în materie de expropriere, raportul de evaluare se întocmește avându-se în vedere expertizele întocmite </w:t>
            </w:r>
            <w:proofErr w:type="spellStart"/>
            <w:r w:rsidRPr="005F1FAF">
              <w:rPr>
                <w:sz w:val="24"/>
                <w:szCs w:val="24"/>
              </w:rPr>
              <w:t>şi</w:t>
            </w:r>
            <w:proofErr w:type="spellEnd"/>
            <w:r w:rsidRPr="005F1FAF">
              <w:rPr>
                <w:sz w:val="24"/>
                <w:szCs w:val="24"/>
              </w:rPr>
              <w:t xml:space="preserve"> actualizate de camerele notarilor publici, potrivit art. 111 alin. (5) din Legea nr. 227/2015 privind Codul Fiscal, cu modificările </w:t>
            </w:r>
            <w:proofErr w:type="spellStart"/>
            <w:r w:rsidRPr="005F1FAF">
              <w:rPr>
                <w:sz w:val="24"/>
                <w:szCs w:val="24"/>
              </w:rPr>
              <w:t>şi</w:t>
            </w:r>
            <w:proofErr w:type="spellEnd"/>
            <w:r w:rsidRPr="005F1FAF">
              <w:rPr>
                <w:sz w:val="24"/>
                <w:szCs w:val="24"/>
              </w:rPr>
              <w:t xml:space="preserve"> completările ulterioare, coroborate cu prevederile art. 8 alin (1) din Hotărârea Guvernului nr. 53/2011 pentru aprobarea Normelor Metodologice de aplicare a Legii nr. 255/2010 privind exproprierea pentru cauză de utilitate publică, necesară realizării unor obiective de interes național, județean </w:t>
            </w:r>
            <w:proofErr w:type="spellStart"/>
            <w:r w:rsidRPr="005F1FAF">
              <w:rPr>
                <w:sz w:val="24"/>
                <w:szCs w:val="24"/>
              </w:rPr>
              <w:t>şi</w:t>
            </w:r>
            <w:proofErr w:type="spellEnd"/>
            <w:r w:rsidRPr="005F1FAF">
              <w:rPr>
                <w:sz w:val="24"/>
                <w:szCs w:val="24"/>
              </w:rPr>
              <w:t xml:space="preserve"> local, cu modificările </w:t>
            </w:r>
            <w:proofErr w:type="spellStart"/>
            <w:r w:rsidRPr="005F1FAF">
              <w:rPr>
                <w:sz w:val="24"/>
                <w:szCs w:val="24"/>
              </w:rPr>
              <w:t>şi</w:t>
            </w:r>
            <w:proofErr w:type="spellEnd"/>
            <w:r w:rsidRPr="005F1FAF">
              <w:rPr>
                <w:sz w:val="24"/>
                <w:szCs w:val="24"/>
              </w:rPr>
              <w:t xml:space="preserve"> completările ulterioare, conform cărora „expertul evaluator […] este obligat să se raporteze la expertizele întocmite </w:t>
            </w:r>
            <w:proofErr w:type="spellStart"/>
            <w:r w:rsidRPr="005F1FAF">
              <w:rPr>
                <w:sz w:val="24"/>
                <w:szCs w:val="24"/>
              </w:rPr>
              <w:t>şi</w:t>
            </w:r>
            <w:proofErr w:type="spellEnd"/>
            <w:r w:rsidRPr="005F1FAF">
              <w:rPr>
                <w:sz w:val="24"/>
                <w:szCs w:val="24"/>
              </w:rPr>
              <w:t xml:space="preserve"> actualizate de camerele notarilor publici, potrivit art. 111 alin. (5) din Legea nr. 227/2015 privind Codul Fiscal, cu modificările </w:t>
            </w:r>
            <w:proofErr w:type="spellStart"/>
            <w:r w:rsidRPr="005F1FAF">
              <w:rPr>
                <w:sz w:val="24"/>
                <w:szCs w:val="24"/>
              </w:rPr>
              <w:t>şi</w:t>
            </w:r>
            <w:proofErr w:type="spellEnd"/>
            <w:r w:rsidRPr="005F1FAF">
              <w:rPr>
                <w:sz w:val="24"/>
                <w:szCs w:val="24"/>
              </w:rPr>
              <w:t xml:space="preserve"> completările ulterioare.</w:t>
            </w:r>
          </w:p>
          <w:p w:rsidR="008C3FCE" w:rsidRPr="005F1FAF" w:rsidRDefault="00C141CE" w:rsidP="00B0425D">
            <w:pPr>
              <w:shd w:val="clear" w:color="auto" w:fill="FFFFFF"/>
              <w:jc w:val="both"/>
              <w:rPr>
                <w:sz w:val="24"/>
                <w:szCs w:val="24"/>
              </w:rPr>
            </w:pPr>
            <w:r w:rsidRPr="005F1FAF">
              <w:rPr>
                <w:sz w:val="24"/>
                <w:szCs w:val="24"/>
              </w:rPr>
              <w:t xml:space="preserve"> Procedurile de expropriere vor fi efectuate de către Compania </w:t>
            </w:r>
            <w:proofErr w:type="spellStart"/>
            <w:r w:rsidRPr="005F1FAF">
              <w:rPr>
                <w:sz w:val="24"/>
                <w:szCs w:val="24"/>
              </w:rPr>
              <w:t>Naţională</w:t>
            </w:r>
            <w:proofErr w:type="spellEnd"/>
            <w:r w:rsidRPr="005F1FAF">
              <w:rPr>
                <w:sz w:val="24"/>
                <w:szCs w:val="24"/>
              </w:rPr>
              <w:t xml:space="preserve"> de Administrare a Infrastructurii Rutiere - S.A. din subordinea Ministerului Transporturilor și Infrastructurii, în calitatea sa de expropriator în numele Statului Român, cu respectarea prevederilor Legii nr. 255/2010, cu modificările </w:t>
            </w:r>
            <w:proofErr w:type="spellStart"/>
            <w:r w:rsidRPr="005F1FAF">
              <w:rPr>
                <w:sz w:val="24"/>
                <w:szCs w:val="24"/>
              </w:rPr>
              <w:t>şi</w:t>
            </w:r>
            <w:proofErr w:type="spellEnd"/>
            <w:r w:rsidRPr="005F1FAF">
              <w:rPr>
                <w:sz w:val="24"/>
                <w:szCs w:val="24"/>
              </w:rPr>
              <w:t xml:space="preserve"> completările ulterioare </w:t>
            </w:r>
            <w:proofErr w:type="spellStart"/>
            <w:r w:rsidRPr="005F1FAF">
              <w:rPr>
                <w:sz w:val="24"/>
                <w:szCs w:val="24"/>
              </w:rPr>
              <w:t>şi</w:t>
            </w:r>
            <w:proofErr w:type="spellEnd"/>
            <w:r w:rsidRPr="005F1FAF">
              <w:rPr>
                <w:sz w:val="24"/>
                <w:szCs w:val="24"/>
              </w:rPr>
              <w:t xml:space="preserve"> ale Hotărârii Guvernului nr. 53/2011 pentru aprobarea Normelor metodologice de aplicare a Legii nr. 255/2010</w:t>
            </w:r>
            <w:r w:rsidR="00CA1D2E" w:rsidRPr="005F1FAF">
              <w:rPr>
                <w:sz w:val="24"/>
                <w:szCs w:val="24"/>
              </w:rPr>
              <w:t>,</w:t>
            </w:r>
            <w:r w:rsidRPr="005F1FAF">
              <w:rPr>
                <w:sz w:val="24"/>
                <w:szCs w:val="24"/>
              </w:rPr>
              <w:t xml:space="preserve"> cu modificările și completările ulterioare.</w:t>
            </w:r>
          </w:p>
        </w:tc>
      </w:tr>
      <w:tr w:rsidR="004E757A" w:rsidRPr="005F1FAF" w:rsidTr="00632702">
        <w:tc>
          <w:tcPr>
            <w:tcW w:w="1890" w:type="dxa"/>
            <w:tcBorders>
              <w:top w:val="single" w:sz="4" w:space="0" w:color="auto"/>
              <w:left w:val="single" w:sz="4" w:space="0" w:color="auto"/>
              <w:bottom w:val="single" w:sz="4" w:space="0" w:color="auto"/>
              <w:right w:val="single" w:sz="4" w:space="0" w:color="auto"/>
            </w:tcBorders>
            <w:hideMark/>
          </w:tcPr>
          <w:p w:rsidR="004E757A" w:rsidRPr="005F1FAF" w:rsidRDefault="004E757A" w:rsidP="009E618A">
            <w:pPr>
              <w:rPr>
                <w:sz w:val="24"/>
                <w:szCs w:val="24"/>
              </w:rPr>
            </w:pPr>
            <w:r w:rsidRPr="005F1FAF">
              <w:rPr>
                <w:sz w:val="24"/>
                <w:szCs w:val="24"/>
              </w:rPr>
              <w:lastRenderedPageBreak/>
              <w:t xml:space="preserve">3.Alte </w:t>
            </w:r>
            <w:proofErr w:type="spellStart"/>
            <w:r w:rsidRPr="005F1FAF">
              <w:rPr>
                <w:sz w:val="24"/>
                <w:szCs w:val="24"/>
              </w:rPr>
              <w:t>informaţii</w:t>
            </w:r>
            <w:proofErr w:type="spellEnd"/>
          </w:p>
        </w:tc>
        <w:tc>
          <w:tcPr>
            <w:tcW w:w="7830" w:type="dxa"/>
            <w:tcBorders>
              <w:top w:val="single" w:sz="4" w:space="0" w:color="auto"/>
              <w:left w:val="single" w:sz="4" w:space="0" w:color="auto"/>
              <w:bottom w:val="single" w:sz="4" w:space="0" w:color="auto"/>
              <w:right w:val="single" w:sz="4" w:space="0" w:color="auto"/>
            </w:tcBorders>
            <w:hideMark/>
          </w:tcPr>
          <w:p w:rsidR="008E422F" w:rsidRPr="005F1FAF" w:rsidRDefault="007605E4" w:rsidP="00B0425D">
            <w:pPr>
              <w:jc w:val="both"/>
              <w:rPr>
                <w:sz w:val="24"/>
              </w:rPr>
            </w:pPr>
            <w:r w:rsidRPr="005F1FAF">
              <w:rPr>
                <w:sz w:val="24"/>
                <w:szCs w:val="24"/>
              </w:rPr>
              <w:t xml:space="preserve"> </w:t>
            </w:r>
            <w:r w:rsidR="004E757A" w:rsidRPr="005F1FAF">
              <w:rPr>
                <w:sz w:val="24"/>
                <w:szCs w:val="24"/>
              </w:rPr>
              <w:t xml:space="preserve"> </w:t>
            </w:r>
            <w:r w:rsidR="00794811" w:rsidRPr="005F1FAF">
              <w:rPr>
                <w:sz w:val="24"/>
                <w:szCs w:val="24"/>
              </w:rPr>
              <w:t xml:space="preserve">    </w:t>
            </w:r>
            <w:r w:rsidR="000238C2" w:rsidRPr="005F1FAF">
              <w:rPr>
                <w:sz w:val="24"/>
                <w:szCs w:val="24"/>
              </w:rPr>
              <w:t xml:space="preserve">      </w:t>
            </w:r>
            <w:r w:rsidR="008E422F" w:rsidRPr="005F1FAF">
              <w:rPr>
                <w:color w:val="000000"/>
                <w:sz w:val="24"/>
              </w:rPr>
              <w:t xml:space="preserve">În măsura în care unele dintre construcții au </w:t>
            </w:r>
            <w:proofErr w:type="spellStart"/>
            <w:r w:rsidR="008E422F" w:rsidRPr="005F1FAF">
              <w:rPr>
                <w:color w:val="000000"/>
                <w:sz w:val="24"/>
              </w:rPr>
              <w:t>destinaţia</w:t>
            </w:r>
            <w:proofErr w:type="spellEnd"/>
            <w:r w:rsidR="008E422F" w:rsidRPr="005F1FAF">
              <w:rPr>
                <w:color w:val="000000"/>
                <w:sz w:val="24"/>
              </w:rPr>
              <w:t xml:space="preserve"> de </w:t>
            </w:r>
            <w:proofErr w:type="spellStart"/>
            <w:r w:rsidR="008E422F" w:rsidRPr="005F1FAF">
              <w:rPr>
                <w:color w:val="000000"/>
                <w:sz w:val="24"/>
              </w:rPr>
              <w:t>locuinţă</w:t>
            </w:r>
            <w:proofErr w:type="spellEnd"/>
            <w:r w:rsidR="008E422F" w:rsidRPr="005F1FAF">
              <w:rPr>
                <w:color w:val="000000"/>
                <w:sz w:val="24"/>
              </w:rPr>
              <w:t xml:space="preserve"> se va proceda potrivit dispozițiilor art. 29 alin. (2) din Legea nr. 33/1994 </w:t>
            </w:r>
            <w:r w:rsidR="008E422F" w:rsidRPr="005F1FAF">
              <w:rPr>
                <w:bCs/>
                <w:color w:val="000000"/>
                <w:sz w:val="24"/>
              </w:rPr>
              <w:t xml:space="preserve">privind exproprierea pentru cauză de utilitate publică </w:t>
            </w:r>
            <w:proofErr w:type="spellStart"/>
            <w:r w:rsidR="008E422F" w:rsidRPr="005F1FAF">
              <w:rPr>
                <w:color w:val="000000"/>
                <w:sz w:val="24"/>
              </w:rPr>
              <w:t>şi</w:t>
            </w:r>
            <w:proofErr w:type="spellEnd"/>
            <w:r w:rsidR="008E422F" w:rsidRPr="005F1FAF">
              <w:rPr>
                <w:color w:val="000000"/>
                <w:sz w:val="24"/>
              </w:rPr>
              <w:t xml:space="preserve"> ale Legii nr. 255/2010</w:t>
            </w:r>
            <w:r w:rsidR="00CA1D2E" w:rsidRPr="005F1FAF">
              <w:rPr>
                <w:color w:val="000000"/>
                <w:sz w:val="24"/>
              </w:rPr>
              <w:t>,</w:t>
            </w:r>
            <w:r w:rsidR="008E422F" w:rsidRPr="005F1FAF">
              <w:rPr>
                <w:color w:val="000000"/>
                <w:sz w:val="24"/>
              </w:rPr>
              <w:t xml:space="preserve"> cu modificările </w:t>
            </w:r>
            <w:r w:rsidR="00CA1D2E" w:rsidRPr="005F1FAF">
              <w:rPr>
                <w:color w:val="000000"/>
                <w:sz w:val="24"/>
              </w:rPr>
              <w:t>ș</w:t>
            </w:r>
            <w:r w:rsidR="008E422F" w:rsidRPr="005F1FAF">
              <w:rPr>
                <w:color w:val="000000"/>
                <w:sz w:val="24"/>
              </w:rPr>
              <w:t xml:space="preserve">i completările ulterioare. Uzul, uzufructul, </w:t>
            </w:r>
            <w:proofErr w:type="spellStart"/>
            <w:r w:rsidR="008E422F" w:rsidRPr="005F1FAF">
              <w:rPr>
                <w:color w:val="000000"/>
                <w:sz w:val="24"/>
              </w:rPr>
              <w:t>abitaţia</w:t>
            </w:r>
            <w:proofErr w:type="spellEnd"/>
            <w:r w:rsidR="008E422F" w:rsidRPr="005F1FAF">
              <w:rPr>
                <w:color w:val="000000"/>
                <w:sz w:val="24"/>
              </w:rPr>
              <w:t xml:space="preserve"> </w:t>
            </w:r>
            <w:proofErr w:type="spellStart"/>
            <w:r w:rsidR="008E422F" w:rsidRPr="005F1FAF">
              <w:rPr>
                <w:color w:val="000000"/>
                <w:sz w:val="24"/>
              </w:rPr>
              <w:t>şi</w:t>
            </w:r>
            <w:proofErr w:type="spellEnd"/>
            <w:r w:rsidR="008E422F" w:rsidRPr="005F1FAF">
              <w:rPr>
                <w:color w:val="000000"/>
                <w:sz w:val="24"/>
              </w:rPr>
              <w:t xml:space="preserve"> superficia, precum </w:t>
            </w:r>
            <w:proofErr w:type="spellStart"/>
            <w:r w:rsidR="008E422F" w:rsidRPr="005F1FAF">
              <w:rPr>
                <w:color w:val="000000"/>
                <w:sz w:val="24"/>
              </w:rPr>
              <w:t>şi</w:t>
            </w:r>
            <w:proofErr w:type="spellEnd"/>
            <w:r w:rsidR="008E422F" w:rsidRPr="005F1FAF">
              <w:rPr>
                <w:color w:val="000000"/>
                <w:sz w:val="24"/>
              </w:rPr>
              <w:t xml:space="preserve"> orice alte drepturi reale, cât </w:t>
            </w:r>
            <w:proofErr w:type="spellStart"/>
            <w:r w:rsidR="008E422F" w:rsidRPr="005F1FAF">
              <w:rPr>
                <w:color w:val="000000"/>
                <w:sz w:val="24"/>
              </w:rPr>
              <w:t>şi</w:t>
            </w:r>
            <w:proofErr w:type="spellEnd"/>
            <w:r w:rsidR="008E422F" w:rsidRPr="005F1FAF">
              <w:rPr>
                <w:color w:val="000000"/>
                <w:sz w:val="24"/>
              </w:rPr>
              <w:t xml:space="preserve"> concesionarea </w:t>
            </w:r>
            <w:proofErr w:type="spellStart"/>
            <w:r w:rsidR="008E422F" w:rsidRPr="005F1FAF">
              <w:rPr>
                <w:color w:val="000000"/>
                <w:sz w:val="24"/>
              </w:rPr>
              <w:t>şi</w:t>
            </w:r>
            <w:proofErr w:type="spellEnd"/>
            <w:r w:rsidR="008E422F" w:rsidRPr="005F1FAF">
              <w:rPr>
                <w:color w:val="000000"/>
                <w:sz w:val="24"/>
              </w:rPr>
              <w:t xml:space="preserve"> atribuirea în </w:t>
            </w:r>
            <w:proofErr w:type="spellStart"/>
            <w:r w:rsidR="008E422F" w:rsidRPr="005F1FAF">
              <w:rPr>
                <w:color w:val="000000"/>
                <w:sz w:val="24"/>
              </w:rPr>
              <w:t>folosinţă</w:t>
            </w:r>
            <w:proofErr w:type="spellEnd"/>
            <w:r w:rsidR="008E422F" w:rsidRPr="005F1FAF">
              <w:rPr>
                <w:color w:val="000000"/>
                <w:sz w:val="24"/>
              </w:rPr>
              <w:t xml:space="preserve"> se sting prin efectul exproprierii, titularii acestora având dreptul la despăgubiri în conformitate cu </w:t>
            </w:r>
            <w:proofErr w:type="spellStart"/>
            <w:r w:rsidR="008E422F" w:rsidRPr="005F1FAF">
              <w:rPr>
                <w:color w:val="000000"/>
                <w:sz w:val="24"/>
              </w:rPr>
              <w:t>dispoziţiile</w:t>
            </w:r>
            <w:proofErr w:type="spellEnd"/>
            <w:r w:rsidR="008E422F" w:rsidRPr="005F1FAF">
              <w:rPr>
                <w:color w:val="000000"/>
                <w:sz w:val="24"/>
              </w:rPr>
              <w:t xml:space="preserve"> a</w:t>
            </w:r>
            <w:r w:rsidR="008E422F" w:rsidRPr="005F1FAF">
              <w:rPr>
                <w:bCs/>
                <w:color w:val="000000"/>
                <w:sz w:val="24"/>
              </w:rPr>
              <w:t>rt. 28</w:t>
            </w:r>
            <w:bookmarkStart w:id="4" w:name="do%7CcaIV%7Car28%7Cal3"/>
            <w:bookmarkStart w:id="5" w:name="do%7CcaIV%7Car28%7Cal1"/>
            <w:bookmarkEnd w:id="4"/>
            <w:bookmarkEnd w:id="5"/>
            <w:r w:rsidR="008E422F" w:rsidRPr="005F1FAF">
              <w:rPr>
                <w:bCs/>
                <w:color w:val="000000"/>
                <w:sz w:val="24"/>
              </w:rPr>
              <w:t xml:space="preserve"> alin.</w:t>
            </w:r>
            <w:r w:rsidR="00CA1D2E" w:rsidRPr="005F1FAF">
              <w:rPr>
                <w:bCs/>
                <w:color w:val="000000"/>
                <w:sz w:val="24"/>
              </w:rPr>
              <w:t xml:space="preserve"> </w:t>
            </w:r>
            <w:r w:rsidR="008E422F" w:rsidRPr="005F1FAF">
              <w:rPr>
                <w:bCs/>
                <w:color w:val="000000"/>
                <w:sz w:val="24"/>
              </w:rPr>
              <w:t>(3) din Legea nr.</w:t>
            </w:r>
            <w:r w:rsidR="00CA1D2E" w:rsidRPr="005F1FAF">
              <w:rPr>
                <w:bCs/>
                <w:color w:val="000000"/>
                <w:sz w:val="24"/>
              </w:rPr>
              <w:t xml:space="preserve"> </w:t>
            </w:r>
            <w:r w:rsidR="008E422F" w:rsidRPr="005F1FAF">
              <w:rPr>
                <w:bCs/>
                <w:color w:val="000000"/>
                <w:sz w:val="24"/>
              </w:rPr>
              <w:t>33/1994</w:t>
            </w:r>
            <w:r w:rsidR="00CA1D2E" w:rsidRPr="005F1FAF">
              <w:rPr>
                <w:bCs/>
                <w:color w:val="000000"/>
                <w:sz w:val="24"/>
              </w:rPr>
              <w:t>,</w:t>
            </w:r>
            <w:r w:rsidR="008E422F" w:rsidRPr="005F1FAF">
              <w:rPr>
                <w:color w:val="000000"/>
                <w:sz w:val="24"/>
              </w:rPr>
              <w:t xml:space="preserve"> cu modificările si completările ulterioare </w:t>
            </w:r>
            <w:r w:rsidR="00CA1D2E" w:rsidRPr="005F1FAF">
              <w:rPr>
                <w:color w:val="000000"/>
                <w:sz w:val="24"/>
              </w:rPr>
              <w:t>ș</w:t>
            </w:r>
            <w:r w:rsidR="008E422F" w:rsidRPr="005F1FAF">
              <w:rPr>
                <w:color w:val="000000"/>
                <w:sz w:val="24"/>
              </w:rPr>
              <w:t>i ale Legii 255/2010</w:t>
            </w:r>
            <w:r w:rsidR="00CA1D2E" w:rsidRPr="005F1FAF">
              <w:rPr>
                <w:color w:val="000000"/>
                <w:sz w:val="24"/>
              </w:rPr>
              <w:t>,</w:t>
            </w:r>
            <w:r w:rsidR="008E422F" w:rsidRPr="005F1FAF">
              <w:rPr>
                <w:color w:val="000000"/>
                <w:sz w:val="24"/>
              </w:rPr>
              <w:t xml:space="preserve"> cu modificările </w:t>
            </w:r>
            <w:r w:rsidR="00CA1D2E" w:rsidRPr="005F1FAF">
              <w:rPr>
                <w:color w:val="000000"/>
                <w:sz w:val="24"/>
              </w:rPr>
              <w:t>ș</w:t>
            </w:r>
            <w:r w:rsidR="008E422F" w:rsidRPr="005F1FAF">
              <w:rPr>
                <w:color w:val="000000"/>
                <w:sz w:val="24"/>
              </w:rPr>
              <w:t>i completările ulterioare.</w:t>
            </w:r>
          </w:p>
          <w:p w:rsidR="00DD33DF" w:rsidRPr="005F1FAF" w:rsidRDefault="000238C2" w:rsidP="00B0425D">
            <w:pPr>
              <w:tabs>
                <w:tab w:val="left" w:pos="794"/>
              </w:tabs>
              <w:jc w:val="both"/>
            </w:pPr>
            <w:r w:rsidRPr="005F1FAF">
              <w:rPr>
                <w:sz w:val="22"/>
                <w:szCs w:val="24"/>
              </w:rPr>
              <w:t xml:space="preserve">       </w:t>
            </w:r>
            <w:r w:rsidR="008E422F" w:rsidRPr="005F1FAF">
              <w:rPr>
                <w:sz w:val="24"/>
              </w:rPr>
              <w:t xml:space="preserve">      Pentru imobilele care fac obiectul prezentului proiect de act normativ și care au categoria de folosință ”pădure” și ”pășuni” se vor respecta prevederile Legii nr. 46/2008 privind Codul Silvic, cu modificările și completările ulterioare, iar pentru imobilele care au categorie de folosință ”arabil”, scoaterea din circuitul agricol se va realiza cu respectarea art. 11 alin. (6</w:t>
            </w:r>
            <w:r w:rsidR="008E422F" w:rsidRPr="005F1FAF">
              <w:rPr>
                <w:sz w:val="24"/>
                <w:vertAlign w:val="superscript"/>
              </w:rPr>
              <w:t>6</w:t>
            </w:r>
            <w:r w:rsidR="008E422F" w:rsidRPr="005F1FAF">
              <w:rPr>
                <w:sz w:val="24"/>
              </w:rPr>
              <w:t xml:space="preserve">) din Legea nr. 255/2010 </w:t>
            </w:r>
            <w:r w:rsidR="008E422F" w:rsidRPr="005F1FAF">
              <w:rPr>
                <w:bCs/>
                <w:sz w:val="24"/>
              </w:rPr>
              <w:t xml:space="preserve">privind exproprierea pentru cauză de utilitate publică, necesară realizării unor obiective de interes </w:t>
            </w:r>
            <w:proofErr w:type="spellStart"/>
            <w:r w:rsidR="008E422F" w:rsidRPr="005F1FAF">
              <w:rPr>
                <w:bCs/>
                <w:sz w:val="24"/>
              </w:rPr>
              <w:t>naţional</w:t>
            </w:r>
            <w:proofErr w:type="spellEnd"/>
            <w:r w:rsidR="008E422F" w:rsidRPr="005F1FAF">
              <w:rPr>
                <w:bCs/>
                <w:sz w:val="24"/>
              </w:rPr>
              <w:t xml:space="preserve">, </w:t>
            </w:r>
            <w:proofErr w:type="spellStart"/>
            <w:r w:rsidR="008E422F" w:rsidRPr="005F1FAF">
              <w:rPr>
                <w:bCs/>
                <w:sz w:val="24"/>
              </w:rPr>
              <w:t>judeţean</w:t>
            </w:r>
            <w:proofErr w:type="spellEnd"/>
            <w:r w:rsidR="008E422F" w:rsidRPr="005F1FAF">
              <w:rPr>
                <w:bCs/>
                <w:sz w:val="24"/>
              </w:rPr>
              <w:t xml:space="preserve"> </w:t>
            </w:r>
            <w:proofErr w:type="spellStart"/>
            <w:r w:rsidR="008E422F" w:rsidRPr="005F1FAF">
              <w:rPr>
                <w:bCs/>
                <w:sz w:val="24"/>
              </w:rPr>
              <w:t>şi</w:t>
            </w:r>
            <w:proofErr w:type="spellEnd"/>
            <w:r w:rsidR="008E422F" w:rsidRPr="005F1FAF">
              <w:rPr>
                <w:bCs/>
                <w:sz w:val="24"/>
              </w:rPr>
              <w:t xml:space="preserve"> local</w:t>
            </w:r>
            <w:r w:rsidR="008E422F" w:rsidRPr="005F1FAF">
              <w:rPr>
                <w:sz w:val="24"/>
              </w:rPr>
              <w:t>, cu modificările și completările ulterioare, inclusiv cu avizul tehnic emis de Agenția Națională de Îmbunătățiri Funciare.</w:t>
            </w:r>
          </w:p>
        </w:tc>
      </w:tr>
    </w:tbl>
    <w:p w:rsidR="00EB1163" w:rsidRPr="005F1FAF" w:rsidRDefault="00EB1163" w:rsidP="00DD33DF">
      <w:pPr>
        <w:pStyle w:val="ListParagraph1"/>
        <w:ind w:left="0"/>
        <w:rPr>
          <w:b/>
        </w:rPr>
      </w:pPr>
    </w:p>
    <w:p w:rsidR="004E757A" w:rsidRPr="005F1FAF" w:rsidRDefault="004E757A" w:rsidP="004E757A">
      <w:pPr>
        <w:pStyle w:val="ListParagraph1"/>
        <w:ind w:left="0"/>
        <w:jc w:val="center"/>
        <w:rPr>
          <w:b/>
        </w:rPr>
      </w:pPr>
      <w:proofErr w:type="spellStart"/>
      <w:r w:rsidRPr="005F1FAF">
        <w:rPr>
          <w:b/>
        </w:rPr>
        <w:t>Secţiunea</w:t>
      </w:r>
      <w:proofErr w:type="spellEnd"/>
      <w:r w:rsidRPr="005F1FAF">
        <w:rPr>
          <w:b/>
        </w:rPr>
        <w:t xml:space="preserve"> a 3-a</w:t>
      </w:r>
    </w:p>
    <w:p w:rsidR="004E757A" w:rsidRPr="005F1FAF" w:rsidRDefault="004E757A" w:rsidP="004E757A">
      <w:pPr>
        <w:pStyle w:val="ListParagraph1"/>
        <w:ind w:left="0"/>
        <w:jc w:val="center"/>
        <w:rPr>
          <w:b/>
        </w:rPr>
      </w:pPr>
      <w:r w:rsidRPr="005F1FAF">
        <w:rPr>
          <w:b/>
        </w:rPr>
        <w:t xml:space="preserve">Impactul </w:t>
      </w:r>
      <w:proofErr w:type="spellStart"/>
      <w:r w:rsidRPr="005F1FAF">
        <w:rPr>
          <w:b/>
        </w:rPr>
        <w:t>socio</w:t>
      </w:r>
      <w:proofErr w:type="spellEnd"/>
      <w:r w:rsidRPr="005F1FAF">
        <w:rPr>
          <w:b/>
        </w:rPr>
        <w:t>-economic al prezentului act normativ</w:t>
      </w:r>
    </w:p>
    <w:p w:rsidR="00792FAE" w:rsidRPr="005F1FAF" w:rsidRDefault="00792FAE" w:rsidP="004E757A">
      <w:pPr>
        <w:pStyle w:val="ListParagraph1"/>
        <w:ind w:left="0"/>
        <w:jc w:val="center"/>
        <w:rPr>
          <w:b/>
        </w:rPr>
      </w:pPr>
    </w:p>
    <w:tbl>
      <w:tblPr>
        <w:tblW w:w="978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9"/>
        <w:gridCol w:w="6398"/>
      </w:tblGrid>
      <w:tr w:rsidR="003B511A" w:rsidRPr="005F1FAF" w:rsidTr="008E422F">
        <w:tc>
          <w:tcPr>
            <w:tcW w:w="3389" w:type="dxa"/>
          </w:tcPr>
          <w:p w:rsidR="003B511A" w:rsidRPr="005F1FAF" w:rsidRDefault="003B511A" w:rsidP="009F0E79">
            <w:pPr>
              <w:rPr>
                <w:sz w:val="24"/>
                <w:szCs w:val="24"/>
              </w:rPr>
            </w:pPr>
            <w:r w:rsidRPr="005F1FAF">
              <w:rPr>
                <w:sz w:val="24"/>
                <w:szCs w:val="24"/>
              </w:rPr>
              <w:t>1.Impactul macroeconomic.</w:t>
            </w:r>
          </w:p>
        </w:tc>
        <w:tc>
          <w:tcPr>
            <w:tcW w:w="6398" w:type="dxa"/>
          </w:tcPr>
          <w:p w:rsidR="003B511A" w:rsidRPr="005F1FAF" w:rsidRDefault="003B511A" w:rsidP="009F0E79">
            <w:pPr>
              <w:jc w:val="both"/>
              <w:rPr>
                <w:sz w:val="24"/>
                <w:szCs w:val="24"/>
              </w:rPr>
            </w:pPr>
            <w:r w:rsidRPr="005F1FAF">
              <w:rPr>
                <w:sz w:val="24"/>
                <w:szCs w:val="24"/>
              </w:rPr>
              <w:t>Proiectul de act normativ nu se referă la acest domeniu.</w:t>
            </w:r>
          </w:p>
        </w:tc>
      </w:tr>
      <w:tr w:rsidR="003B511A" w:rsidRPr="005F1FAF" w:rsidTr="008E422F">
        <w:trPr>
          <w:trHeight w:val="547"/>
        </w:trPr>
        <w:tc>
          <w:tcPr>
            <w:tcW w:w="3389" w:type="dxa"/>
          </w:tcPr>
          <w:p w:rsidR="003B511A" w:rsidRPr="005F1FAF" w:rsidRDefault="003B511A" w:rsidP="009F0E79">
            <w:pPr>
              <w:jc w:val="both"/>
              <w:rPr>
                <w:sz w:val="24"/>
                <w:szCs w:val="24"/>
              </w:rPr>
            </w:pPr>
            <w:r w:rsidRPr="005F1FAF">
              <w:rPr>
                <w:sz w:val="24"/>
                <w:szCs w:val="24"/>
              </w:rPr>
              <w:t>1</w:t>
            </w:r>
            <w:r w:rsidRPr="005F1FAF">
              <w:rPr>
                <w:sz w:val="24"/>
                <w:szCs w:val="24"/>
                <w:vertAlign w:val="superscript"/>
              </w:rPr>
              <w:t>1</w:t>
            </w:r>
            <w:r w:rsidRPr="005F1FAF">
              <w:rPr>
                <w:sz w:val="24"/>
                <w:szCs w:val="24"/>
              </w:rPr>
              <w:t xml:space="preserve">Impactul asupra mediului </w:t>
            </w:r>
            <w:proofErr w:type="spellStart"/>
            <w:r w:rsidRPr="005F1FAF">
              <w:rPr>
                <w:sz w:val="24"/>
                <w:szCs w:val="24"/>
              </w:rPr>
              <w:t>concurenţial</w:t>
            </w:r>
            <w:proofErr w:type="spellEnd"/>
            <w:r w:rsidRPr="005F1FAF">
              <w:rPr>
                <w:sz w:val="24"/>
                <w:szCs w:val="24"/>
              </w:rPr>
              <w:t xml:space="preserve"> si domeniul ajutoarelor de stat.</w:t>
            </w:r>
          </w:p>
        </w:tc>
        <w:tc>
          <w:tcPr>
            <w:tcW w:w="6398" w:type="dxa"/>
          </w:tcPr>
          <w:p w:rsidR="003B511A" w:rsidRPr="005F1FAF" w:rsidRDefault="003B511A" w:rsidP="009F0E79">
            <w:pPr>
              <w:jc w:val="both"/>
              <w:rPr>
                <w:sz w:val="24"/>
                <w:szCs w:val="24"/>
              </w:rPr>
            </w:pPr>
            <w:r w:rsidRPr="005F1FAF">
              <w:rPr>
                <w:sz w:val="24"/>
                <w:szCs w:val="24"/>
              </w:rPr>
              <w:t>Proiectul de act normativ nu se referă la acest domeniu.</w:t>
            </w:r>
          </w:p>
        </w:tc>
      </w:tr>
      <w:tr w:rsidR="003B511A" w:rsidRPr="005F1FAF" w:rsidTr="008E422F">
        <w:tc>
          <w:tcPr>
            <w:tcW w:w="3389" w:type="dxa"/>
          </w:tcPr>
          <w:p w:rsidR="003B511A" w:rsidRPr="005F1FAF" w:rsidRDefault="003B511A" w:rsidP="009F0E79">
            <w:pPr>
              <w:jc w:val="both"/>
              <w:rPr>
                <w:sz w:val="24"/>
                <w:szCs w:val="24"/>
              </w:rPr>
            </w:pPr>
            <w:r w:rsidRPr="005F1FAF">
              <w:rPr>
                <w:sz w:val="24"/>
                <w:szCs w:val="24"/>
              </w:rPr>
              <w:t>2.Impactul asupra mediului de afaceri.</w:t>
            </w:r>
          </w:p>
        </w:tc>
        <w:tc>
          <w:tcPr>
            <w:tcW w:w="6398" w:type="dxa"/>
          </w:tcPr>
          <w:p w:rsidR="003B511A" w:rsidRPr="005F1FAF" w:rsidRDefault="003B511A" w:rsidP="009F0E79">
            <w:pPr>
              <w:jc w:val="both"/>
              <w:rPr>
                <w:sz w:val="24"/>
                <w:szCs w:val="24"/>
              </w:rPr>
            </w:pPr>
            <w:r w:rsidRPr="005F1FAF">
              <w:rPr>
                <w:sz w:val="24"/>
                <w:szCs w:val="24"/>
              </w:rPr>
              <w:t xml:space="preserve">Finalizarea acestui obiectiv duce la </w:t>
            </w:r>
            <w:proofErr w:type="spellStart"/>
            <w:r w:rsidRPr="005F1FAF">
              <w:rPr>
                <w:sz w:val="24"/>
                <w:szCs w:val="24"/>
              </w:rPr>
              <w:t>îmbunătăţirea</w:t>
            </w:r>
            <w:proofErr w:type="spellEnd"/>
            <w:r w:rsidRPr="005F1FAF">
              <w:rPr>
                <w:sz w:val="24"/>
                <w:szCs w:val="24"/>
              </w:rPr>
              <w:t xml:space="preserve"> </w:t>
            </w:r>
            <w:proofErr w:type="spellStart"/>
            <w:r w:rsidRPr="005F1FAF">
              <w:rPr>
                <w:sz w:val="24"/>
                <w:szCs w:val="24"/>
              </w:rPr>
              <w:t>condiţiilor</w:t>
            </w:r>
            <w:proofErr w:type="spellEnd"/>
            <w:r w:rsidRPr="005F1FAF">
              <w:rPr>
                <w:sz w:val="24"/>
                <w:szCs w:val="24"/>
              </w:rPr>
              <w:t xml:space="preserve">  mediului de afaceri.</w:t>
            </w:r>
          </w:p>
        </w:tc>
      </w:tr>
      <w:tr w:rsidR="003B511A" w:rsidRPr="005F1FAF" w:rsidTr="008E422F">
        <w:tc>
          <w:tcPr>
            <w:tcW w:w="3389" w:type="dxa"/>
          </w:tcPr>
          <w:p w:rsidR="003B511A" w:rsidRPr="005F1FAF" w:rsidRDefault="003B511A" w:rsidP="009F0E79">
            <w:pPr>
              <w:shd w:val="clear" w:color="auto" w:fill="FFFFFF"/>
              <w:jc w:val="both"/>
              <w:rPr>
                <w:sz w:val="24"/>
                <w:szCs w:val="24"/>
              </w:rPr>
            </w:pPr>
            <w:r w:rsidRPr="005F1FAF">
              <w:rPr>
                <w:sz w:val="24"/>
                <w:szCs w:val="24"/>
              </w:rPr>
              <w:lastRenderedPageBreak/>
              <w:t>2</w:t>
            </w:r>
            <w:r w:rsidRPr="005F1FAF">
              <w:rPr>
                <w:sz w:val="24"/>
                <w:szCs w:val="24"/>
                <w:vertAlign w:val="superscript"/>
              </w:rPr>
              <w:t>1</w:t>
            </w:r>
            <w:r w:rsidRPr="005F1FAF">
              <w:rPr>
                <w:sz w:val="24"/>
                <w:szCs w:val="24"/>
              </w:rPr>
              <w:t>. Impactul asupra sarcinilor administrative</w:t>
            </w:r>
          </w:p>
        </w:tc>
        <w:tc>
          <w:tcPr>
            <w:tcW w:w="6398" w:type="dxa"/>
          </w:tcPr>
          <w:p w:rsidR="003B511A" w:rsidRPr="005F1FAF" w:rsidRDefault="003B511A" w:rsidP="009F0E79">
            <w:pPr>
              <w:jc w:val="both"/>
              <w:rPr>
                <w:sz w:val="24"/>
                <w:szCs w:val="24"/>
              </w:rPr>
            </w:pPr>
            <w:r w:rsidRPr="005F1FAF">
              <w:rPr>
                <w:sz w:val="24"/>
                <w:szCs w:val="24"/>
              </w:rPr>
              <w:t>Proiectul de act normativ nu se referă la acest domeniu.</w:t>
            </w:r>
          </w:p>
        </w:tc>
      </w:tr>
      <w:tr w:rsidR="003B511A" w:rsidRPr="005F1FAF" w:rsidTr="008E422F">
        <w:tc>
          <w:tcPr>
            <w:tcW w:w="3389" w:type="dxa"/>
          </w:tcPr>
          <w:p w:rsidR="003B511A" w:rsidRPr="005F1FAF" w:rsidRDefault="003B511A" w:rsidP="009F0E79">
            <w:pPr>
              <w:jc w:val="both"/>
              <w:rPr>
                <w:sz w:val="24"/>
                <w:szCs w:val="24"/>
              </w:rPr>
            </w:pPr>
            <w:r w:rsidRPr="005F1FAF">
              <w:rPr>
                <w:sz w:val="24"/>
                <w:szCs w:val="24"/>
              </w:rPr>
              <w:t>2</w:t>
            </w:r>
            <w:r w:rsidRPr="005F1FAF">
              <w:rPr>
                <w:sz w:val="24"/>
                <w:szCs w:val="24"/>
                <w:vertAlign w:val="superscript"/>
              </w:rPr>
              <w:t>2</w:t>
            </w:r>
            <w:r w:rsidRPr="005F1FAF">
              <w:rPr>
                <w:sz w:val="24"/>
                <w:szCs w:val="24"/>
              </w:rPr>
              <w:t xml:space="preserve">. Impactul asupra întreprinderilor mici </w:t>
            </w:r>
            <w:proofErr w:type="spellStart"/>
            <w:r w:rsidRPr="005F1FAF">
              <w:rPr>
                <w:sz w:val="24"/>
                <w:szCs w:val="24"/>
              </w:rPr>
              <w:t>şi</w:t>
            </w:r>
            <w:proofErr w:type="spellEnd"/>
            <w:r w:rsidRPr="005F1FAF">
              <w:rPr>
                <w:sz w:val="24"/>
                <w:szCs w:val="24"/>
              </w:rPr>
              <w:t xml:space="preserve"> mijlocii</w:t>
            </w:r>
          </w:p>
        </w:tc>
        <w:tc>
          <w:tcPr>
            <w:tcW w:w="6398" w:type="dxa"/>
          </w:tcPr>
          <w:p w:rsidR="003B511A" w:rsidRPr="005F1FAF" w:rsidRDefault="003B511A" w:rsidP="009F0E79">
            <w:pPr>
              <w:jc w:val="both"/>
              <w:rPr>
                <w:sz w:val="24"/>
                <w:szCs w:val="24"/>
              </w:rPr>
            </w:pPr>
            <w:r w:rsidRPr="005F1FAF">
              <w:rPr>
                <w:sz w:val="24"/>
                <w:szCs w:val="24"/>
              </w:rPr>
              <w:t>Proiectul de act normativ nu se referă la acest domeniu.</w:t>
            </w:r>
          </w:p>
        </w:tc>
      </w:tr>
      <w:tr w:rsidR="003B511A" w:rsidRPr="005F1FAF" w:rsidTr="008E422F">
        <w:tc>
          <w:tcPr>
            <w:tcW w:w="3389" w:type="dxa"/>
          </w:tcPr>
          <w:p w:rsidR="003B511A" w:rsidRPr="005F1FAF" w:rsidRDefault="003B511A" w:rsidP="009F0E79">
            <w:pPr>
              <w:rPr>
                <w:sz w:val="24"/>
                <w:szCs w:val="24"/>
              </w:rPr>
            </w:pPr>
            <w:r w:rsidRPr="005F1FAF">
              <w:rPr>
                <w:sz w:val="24"/>
                <w:szCs w:val="24"/>
              </w:rPr>
              <w:t>3.Impactul social</w:t>
            </w:r>
          </w:p>
        </w:tc>
        <w:tc>
          <w:tcPr>
            <w:tcW w:w="6398" w:type="dxa"/>
          </w:tcPr>
          <w:p w:rsidR="003B511A" w:rsidRPr="005F1FAF" w:rsidRDefault="003B511A" w:rsidP="009F0E79">
            <w:pPr>
              <w:jc w:val="both"/>
              <w:rPr>
                <w:sz w:val="24"/>
                <w:szCs w:val="24"/>
              </w:rPr>
            </w:pPr>
            <w:r w:rsidRPr="005F1FAF">
              <w:rPr>
                <w:sz w:val="24"/>
                <w:szCs w:val="24"/>
              </w:rPr>
              <w:t xml:space="preserve">Realizarea acestui obiectiv prezintă avantaje tehnice, economice </w:t>
            </w:r>
            <w:proofErr w:type="spellStart"/>
            <w:r w:rsidRPr="005F1FAF">
              <w:rPr>
                <w:sz w:val="24"/>
                <w:szCs w:val="24"/>
              </w:rPr>
              <w:t>şi</w:t>
            </w:r>
            <w:proofErr w:type="spellEnd"/>
            <w:r w:rsidRPr="005F1FAF">
              <w:rPr>
                <w:sz w:val="24"/>
                <w:szCs w:val="24"/>
              </w:rPr>
              <w:t xml:space="preserve"> sociale, având un impact pozitiv asupra </w:t>
            </w:r>
            <w:proofErr w:type="spellStart"/>
            <w:r w:rsidRPr="005F1FAF">
              <w:rPr>
                <w:sz w:val="24"/>
                <w:szCs w:val="24"/>
              </w:rPr>
              <w:t>aşezărilor</w:t>
            </w:r>
            <w:proofErr w:type="spellEnd"/>
            <w:r w:rsidRPr="005F1FAF">
              <w:rPr>
                <w:sz w:val="24"/>
                <w:szCs w:val="24"/>
              </w:rPr>
              <w:t xml:space="preserve"> umane </w:t>
            </w:r>
            <w:proofErr w:type="spellStart"/>
            <w:r w:rsidRPr="005F1FAF">
              <w:rPr>
                <w:sz w:val="24"/>
                <w:szCs w:val="24"/>
              </w:rPr>
              <w:t>şi</w:t>
            </w:r>
            <w:proofErr w:type="spellEnd"/>
            <w:r w:rsidRPr="005F1FAF">
              <w:rPr>
                <w:sz w:val="24"/>
                <w:szCs w:val="24"/>
              </w:rPr>
              <w:t xml:space="preserve"> a altor obiective din vecin</w:t>
            </w:r>
            <w:r w:rsidRPr="005F1FAF">
              <w:rPr>
                <w:bCs/>
                <w:sz w:val="24"/>
                <w:szCs w:val="24"/>
              </w:rPr>
              <w:t>ă</w:t>
            </w:r>
            <w:r w:rsidRPr="005F1FAF">
              <w:rPr>
                <w:sz w:val="24"/>
                <w:szCs w:val="24"/>
              </w:rPr>
              <w:t>tatea drumului.</w:t>
            </w:r>
          </w:p>
        </w:tc>
      </w:tr>
      <w:tr w:rsidR="003B511A" w:rsidRPr="005F1FAF" w:rsidTr="008E422F">
        <w:tc>
          <w:tcPr>
            <w:tcW w:w="3389" w:type="dxa"/>
          </w:tcPr>
          <w:p w:rsidR="003B511A" w:rsidRPr="005F1FAF" w:rsidRDefault="003B511A" w:rsidP="009F0E79">
            <w:pPr>
              <w:rPr>
                <w:sz w:val="24"/>
                <w:szCs w:val="24"/>
              </w:rPr>
            </w:pPr>
            <w:r w:rsidRPr="005F1FAF">
              <w:rPr>
                <w:sz w:val="24"/>
                <w:szCs w:val="24"/>
              </w:rPr>
              <w:t xml:space="preserve">4.Impactul asupra mediului </w:t>
            </w:r>
          </w:p>
        </w:tc>
        <w:tc>
          <w:tcPr>
            <w:tcW w:w="6398" w:type="dxa"/>
          </w:tcPr>
          <w:p w:rsidR="003B511A" w:rsidRPr="005F1FAF" w:rsidRDefault="00254289" w:rsidP="009F0E79">
            <w:pPr>
              <w:jc w:val="both"/>
              <w:rPr>
                <w:sz w:val="24"/>
                <w:szCs w:val="24"/>
              </w:rPr>
            </w:pPr>
            <w:r w:rsidRPr="005F1FAF">
              <w:rPr>
                <w:sz w:val="24"/>
                <w:szCs w:val="24"/>
              </w:rPr>
              <w:t xml:space="preserve">Lucrările proiectate au o </w:t>
            </w:r>
            <w:proofErr w:type="spellStart"/>
            <w:r w:rsidRPr="005F1FAF">
              <w:rPr>
                <w:sz w:val="24"/>
                <w:szCs w:val="24"/>
              </w:rPr>
              <w:t>influenţă</w:t>
            </w:r>
            <w:proofErr w:type="spellEnd"/>
            <w:r w:rsidRPr="005F1FAF">
              <w:rPr>
                <w:sz w:val="24"/>
                <w:szCs w:val="24"/>
              </w:rPr>
              <w:t xml:space="preserve"> benefică asupra </w:t>
            </w:r>
            <w:proofErr w:type="spellStart"/>
            <w:r w:rsidRPr="005F1FAF">
              <w:rPr>
                <w:sz w:val="24"/>
                <w:szCs w:val="24"/>
              </w:rPr>
              <w:t>calităţii</w:t>
            </w:r>
            <w:proofErr w:type="spellEnd"/>
            <w:r w:rsidRPr="005F1FAF">
              <w:rPr>
                <w:sz w:val="24"/>
                <w:szCs w:val="24"/>
              </w:rPr>
              <w:t xml:space="preserve"> mediului prin reducerea poluării fonice, reducerea volumului de praf antrenat precum </w:t>
            </w:r>
            <w:proofErr w:type="spellStart"/>
            <w:r w:rsidRPr="005F1FAF">
              <w:rPr>
                <w:sz w:val="24"/>
                <w:szCs w:val="24"/>
              </w:rPr>
              <w:t>şi</w:t>
            </w:r>
            <w:proofErr w:type="spellEnd"/>
            <w:r w:rsidRPr="005F1FAF">
              <w:rPr>
                <w:sz w:val="24"/>
                <w:szCs w:val="24"/>
              </w:rPr>
              <w:t xml:space="preserve"> a noxelor eliminate de mijloacele de transport.</w:t>
            </w:r>
          </w:p>
        </w:tc>
      </w:tr>
      <w:tr w:rsidR="003B511A" w:rsidRPr="005F1FAF" w:rsidTr="008E422F">
        <w:tc>
          <w:tcPr>
            <w:tcW w:w="3389" w:type="dxa"/>
          </w:tcPr>
          <w:p w:rsidR="003B511A" w:rsidRPr="005F1FAF" w:rsidRDefault="003B511A" w:rsidP="009F0E79">
            <w:pPr>
              <w:rPr>
                <w:sz w:val="24"/>
                <w:szCs w:val="24"/>
              </w:rPr>
            </w:pPr>
            <w:r w:rsidRPr="005F1FAF">
              <w:rPr>
                <w:sz w:val="24"/>
                <w:szCs w:val="24"/>
              </w:rPr>
              <w:t xml:space="preserve">5.Alte </w:t>
            </w:r>
            <w:proofErr w:type="spellStart"/>
            <w:r w:rsidRPr="005F1FAF">
              <w:rPr>
                <w:sz w:val="24"/>
                <w:szCs w:val="24"/>
              </w:rPr>
              <w:t>informaţii</w:t>
            </w:r>
            <w:proofErr w:type="spellEnd"/>
          </w:p>
        </w:tc>
        <w:tc>
          <w:tcPr>
            <w:tcW w:w="6398" w:type="dxa"/>
          </w:tcPr>
          <w:p w:rsidR="003B511A" w:rsidRPr="005F1FAF" w:rsidRDefault="003B511A" w:rsidP="009F0E79">
            <w:pPr>
              <w:jc w:val="both"/>
              <w:rPr>
                <w:sz w:val="24"/>
                <w:szCs w:val="24"/>
              </w:rPr>
            </w:pPr>
            <w:r w:rsidRPr="005F1FAF">
              <w:rPr>
                <w:sz w:val="24"/>
                <w:szCs w:val="24"/>
              </w:rPr>
              <w:t>Nu au fost identificate</w:t>
            </w:r>
          </w:p>
        </w:tc>
      </w:tr>
    </w:tbl>
    <w:p w:rsidR="00EB1163" w:rsidRPr="005F1FAF" w:rsidRDefault="00EB1163" w:rsidP="00EB1163">
      <w:pPr>
        <w:rPr>
          <w:b/>
          <w:i/>
          <w:sz w:val="24"/>
          <w:szCs w:val="24"/>
        </w:rPr>
      </w:pPr>
    </w:p>
    <w:p w:rsidR="004E757A" w:rsidRPr="005F1FAF" w:rsidRDefault="004E757A" w:rsidP="004E757A">
      <w:pPr>
        <w:jc w:val="center"/>
        <w:rPr>
          <w:b/>
          <w:sz w:val="24"/>
          <w:szCs w:val="24"/>
        </w:rPr>
      </w:pPr>
      <w:proofErr w:type="spellStart"/>
      <w:r w:rsidRPr="005F1FAF">
        <w:rPr>
          <w:b/>
          <w:sz w:val="24"/>
          <w:szCs w:val="24"/>
        </w:rPr>
        <w:t>Secţiunea</w:t>
      </w:r>
      <w:proofErr w:type="spellEnd"/>
      <w:r w:rsidRPr="005F1FAF">
        <w:rPr>
          <w:b/>
          <w:sz w:val="24"/>
          <w:szCs w:val="24"/>
        </w:rPr>
        <w:t xml:space="preserve"> a 4-a</w:t>
      </w:r>
    </w:p>
    <w:p w:rsidR="008E422F" w:rsidRPr="005F1FAF" w:rsidRDefault="004E757A" w:rsidP="00DD33DF">
      <w:pPr>
        <w:jc w:val="center"/>
        <w:rPr>
          <w:b/>
          <w:sz w:val="24"/>
          <w:szCs w:val="24"/>
        </w:rPr>
      </w:pPr>
      <w:r w:rsidRPr="005F1FAF">
        <w:rPr>
          <w:b/>
          <w:sz w:val="24"/>
          <w:szCs w:val="24"/>
        </w:rPr>
        <w:t xml:space="preserve">Impactul financiar asupra bugetului general consolidat, atât pe termen scurt, pentru anul curent, cât </w:t>
      </w:r>
      <w:proofErr w:type="spellStart"/>
      <w:r w:rsidRPr="005F1FAF">
        <w:rPr>
          <w:b/>
          <w:sz w:val="24"/>
          <w:szCs w:val="24"/>
        </w:rPr>
        <w:t>şi</w:t>
      </w:r>
      <w:proofErr w:type="spellEnd"/>
      <w:r w:rsidRPr="005F1FAF">
        <w:rPr>
          <w:b/>
          <w:sz w:val="24"/>
          <w:szCs w:val="24"/>
        </w:rPr>
        <w:t xml:space="preserve"> pe termen lung (pe 5 ani)         </w:t>
      </w:r>
    </w:p>
    <w:p w:rsidR="004E757A" w:rsidRPr="005F1FAF" w:rsidRDefault="004E757A" w:rsidP="00DD33DF">
      <w:pPr>
        <w:jc w:val="center"/>
        <w:rPr>
          <w:b/>
          <w:sz w:val="24"/>
          <w:szCs w:val="24"/>
        </w:rPr>
      </w:pPr>
      <w:r w:rsidRPr="005F1FAF">
        <w:rPr>
          <w:b/>
          <w:sz w:val="24"/>
          <w:szCs w:val="24"/>
        </w:rPr>
        <w:t xml:space="preserve">                                                                                </w:t>
      </w:r>
    </w:p>
    <w:tbl>
      <w:tblPr>
        <w:tblW w:w="99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2"/>
        <w:gridCol w:w="1530"/>
        <w:gridCol w:w="1080"/>
        <w:gridCol w:w="1080"/>
        <w:gridCol w:w="990"/>
        <w:gridCol w:w="720"/>
        <w:gridCol w:w="1419"/>
      </w:tblGrid>
      <w:tr w:rsidR="004E757A" w:rsidRPr="005F1FAF" w:rsidTr="00792FAE">
        <w:trPr>
          <w:trHeight w:val="87"/>
        </w:trPr>
        <w:tc>
          <w:tcPr>
            <w:tcW w:w="9981" w:type="dxa"/>
            <w:gridSpan w:val="7"/>
            <w:tcBorders>
              <w:top w:val="single" w:sz="4" w:space="0" w:color="auto"/>
              <w:left w:val="single" w:sz="4" w:space="0" w:color="auto"/>
              <w:bottom w:val="single" w:sz="4" w:space="0" w:color="auto"/>
              <w:right w:val="single" w:sz="4" w:space="0" w:color="auto"/>
            </w:tcBorders>
            <w:hideMark/>
          </w:tcPr>
          <w:p w:rsidR="004E757A" w:rsidRPr="005F1FAF" w:rsidRDefault="004E757A" w:rsidP="009E618A">
            <w:pPr>
              <w:jc w:val="right"/>
              <w:rPr>
                <w:sz w:val="24"/>
                <w:szCs w:val="24"/>
              </w:rPr>
            </w:pPr>
            <w:r w:rsidRPr="005F1FAF">
              <w:rPr>
                <w:sz w:val="24"/>
                <w:szCs w:val="24"/>
              </w:rPr>
              <w:t>- mii lei -</w:t>
            </w:r>
          </w:p>
        </w:tc>
      </w:tr>
      <w:tr w:rsidR="004E757A" w:rsidRPr="005F1FAF" w:rsidTr="00792FAE">
        <w:trPr>
          <w:trHeight w:val="87"/>
        </w:trPr>
        <w:tc>
          <w:tcPr>
            <w:tcW w:w="3162" w:type="dxa"/>
            <w:tcBorders>
              <w:top w:val="single" w:sz="4" w:space="0" w:color="auto"/>
              <w:left w:val="single" w:sz="4" w:space="0" w:color="auto"/>
              <w:bottom w:val="single" w:sz="4" w:space="0" w:color="auto"/>
              <w:right w:val="single" w:sz="4" w:space="0" w:color="auto"/>
            </w:tcBorders>
            <w:hideMark/>
          </w:tcPr>
          <w:p w:rsidR="004E757A" w:rsidRPr="005F1FAF" w:rsidRDefault="004E757A" w:rsidP="009E618A">
            <w:pPr>
              <w:jc w:val="center"/>
              <w:rPr>
                <w:sz w:val="24"/>
                <w:szCs w:val="24"/>
              </w:rPr>
            </w:pPr>
            <w:r w:rsidRPr="005F1FAF">
              <w:rPr>
                <w:sz w:val="24"/>
                <w:szCs w:val="24"/>
              </w:rPr>
              <w:t>Indicatori</w:t>
            </w:r>
          </w:p>
        </w:tc>
        <w:tc>
          <w:tcPr>
            <w:tcW w:w="1530" w:type="dxa"/>
            <w:tcBorders>
              <w:top w:val="single" w:sz="4" w:space="0" w:color="auto"/>
              <w:left w:val="single" w:sz="4" w:space="0" w:color="auto"/>
              <w:bottom w:val="single" w:sz="4" w:space="0" w:color="auto"/>
              <w:right w:val="nil"/>
            </w:tcBorders>
            <w:hideMark/>
          </w:tcPr>
          <w:p w:rsidR="004E757A" w:rsidRPr="005F1FAF" w:rsidRDefault="004E757A" w:rsidP="009E618A">
            <w:pPr>
              <w:jc w:val="center"/>
              <w:rPr>
                <w:sz w:val="24"/>
                <w:szCs w:val="24"/>
              </w:rPr>
            </w:pPr>
            <w:r w:rsidRPr="005F1FAF">
              <w:rPr>
                <w:sz w:val="24"/>
                <w:szCs w:val="24"/>
              </w:rPr>
              <w:t>Anul curent</w:t>
            </w:r>
          </w:p>
        </w:tc>
        <w:tc>
          <w:tcPr>
            <w:tcW w:w="3870" w:type="dxa"/>
            <w:gridSpan w:val="4"/>
            <w:tcBorders>
              <w:top w:val="single" w:sz="4" w:space="0" w:color="auto"/>
              <w:left w:val="single" w:sz="4" w:space="0" w:color="auto"/>
              <w:bottom w:val="single" w:sz="4" w:space="0" w:color="auto"/>
              <w:right w:val="single" w:sz="4" w:space="0" w:color="auto"/>
            </w:tcBorders>
            <w:hideMark/>
          </w:tcPr>
          <w:p w:rsidR="004E757A" w:rsidRPr="005F1FAF" w:rsidRDefault="004E757A" w:rsidP="009E618A">
            <w:pPr>
              <w:jc w:val="center"/>
              <w:rPr>
                <w:sz w:val="24"/>
                <w:szCs w:val="24"/>
              </w:rPr>
            </w:pPr>
            <w:r w:rsidRPr="005F1FAF">
              <w:rPr>
                <w:sz w:val="24"/>
                <w:szCs w:val="24"/>
              </w:rPr>
              <w:t>Următorii 4 ani</w:t>
            </w:r>
          </w:p>
        </w:tc>
        <w:tc>
          <w:tcPr>
            <w:tcW w:w="1419" w:type="dxa"/>
            <w:tcBorders>
              <w:top w:val="single" w:sz="4" w:space="0" w:color="auto"/>
              <w:left w:val="nil"/>
              <w:bottom w:val="single" w:sz="4" w:space="0" w:color="auto"/>
              <w:right w:val="single" w:sz="4" w:space="0" w:color="auto"/>
            </w:tcBorders>
            <w:hideMark/>
          </w:tcPr>
          <w:p w:rsidR="004E757A" w:rsidRPr="005F1FAF" w:rsidRDefault="004E757A" w:rsidP="009E618A">
            <w:pPr>
              <w:jc w:val="center"/>
              <w:rPr>
                <w:sz w:val="24"/>
                <w:szCs w:val="24"/>
              </w:rPr>
            </w:pPr>
            <w:r w:rsidRPr="005F1FAF">
              <w:rPr>
                <w:sz w:val="24"/>
                <w:szCs w:val="24"/>
              </w:rPr>
              <w:t>Media pe 5 ani</w:t>
            </w:r>
          </w:p>
        </w:tc>
      </w:tr>
      <w:tr w:rsidR="004E757A" w:rsidRPr="005F1FAF" w:rsidTr="00792FAE">
        <w:trPr>
          <w:trHeight w:val="87"/>
        </w:trPr>
        <w:tc>
          <w:tcPr>
            <w:tcW w:w="3162" w:type="dxa"/>
            <w:tcBorders>
              <w:top w:val="single" w:sz="4" w:space="0" w:color="auto"/>
              <w:left w:val="single" w:sz="4" w:space="0" w:color="auto"/>
              <w:bottom w:val="single" w:sz="4" w:space="0" w:color="auto"/>
              <w:right w:val="single" w:sz="4" w:space="0" w:color="auto"/>
            </w:tcBorders>
            <w:hideMark/>
          </w:tcPr>
          <w:p w:rsidR="004E757A" w:rsidRPr="005F1FAF" w:rsidRDefault="004E757A" w:rsidP="009E618A">
            <w:pPr>
              <w:jc w:val="center"/>
              <w:rPr>
                <w:sz w:val="24"/>
                <w:szCs w:val="24"/>
              </w:rPr>
            </w:pPr>
            <w:r w:rsidRPr="005F1FAF">
              <w:rPr>
                <w:sz w:val="24"/>
                <w:szCs w:val="24"/>
              </w:rPr>
              <w:t>1</w:t>
            </w:r>
          </w:p>
        </w:tc>
        <w:tc>
          <w:tcPr>
            <w:tcW w:w="1530" w:type="dxa"/>
            <w:tcBorders>
              <w:top w:val="single" w:sz="4" w:space="0" w:color="auto"/>
              <w:left w:val="single" w:sz="4" w:space="0" w:color="auto"/>
              <w:bottom w:val="single" w:sz="4" w:space="0" w:color="auto"/>
              <w:right w:val="single" w:sz="4" w:space="0" w:color="auto"/>
            </w:tcBorders>
            <w:hideMark/>
          </w:tcPr>
          <w:p w:rsidR="004E757A" w:rsidRPr="005F1FAF" w:rsidRDefault="004E757A" w:rsidP="009E618A">
            <w:pPr>
              <w:jc w:val="center"/>
              <w:rPr>
                <w:sz w:val="24"/>
                <w:szCs w:val="24"/>
              </w:rPr>
            </w:pPr>
            <w:r w:rsidRPr="005F1FAF">
              <w:rPr>
                <w:sz w:val="24"/>
                <w:szCs w:val="24"/>
              </w:rPr>
              <w:t>2</w:t>
            </w:r>
          </w:p>
        </w:tc>
        <w:tc>
          <w:tcPr>
            <w:tcW w:w="1080" w:type="dxa"/>
            <w:tcBorders>
              <w:top w:val="single" w:sz="4" w:space="0" w:color="auto"/>
              <w:left w:val="single" w:sz="4" w:space="0" w:color="auto"/>
              <w:bottom w:val="single" w:sz="4" w:space="0" w:color="auto"/>
              <w:right w:val="single" w:sz="4" w:space="0" w:color="auto"/>
            </w:tcBorders>
            <w:hideMark/>
          </w:tcPr>
          <w:p w:rsidR="004E757A" w:rsidRPr="005F1FAF" w:rsidRDefault="004E757A" w:rsidP="009E618A">
            <w:pPr>
              <w:jc w:val="center"/>
              <w:rPr>
                <w:sz w:val="24"/>
                <w:szCs w:val="24"/>
              </w:rPr>
            </w:pPr>
            <w:r w:rsidRPr="005F1FAF">
              <w:rPr>
                <w:sz w:val="24"/>
                <w:szCs w:val="24"/>
              </w:rPr>
              <w:t>3</w:t>
            </w:r>
          </w:p>
        </w:tc>
        <w:tc>
          <w:tcPr>
            <w:tcW w:w="1080" w:type="dxa"/>
            <w:tcBorders>
              <w:top w:val="single" w:sz="4" w:space="0" w:color="auto"/>
              <w:left w:val="single" w:sz="4" w:space="0" w:color="auto"/>
              <w:bottom w:val="single" w:sz="4" w:space="0" w:color="auto"/>
              <w:right w:val="single" w:sz="4" w:space="0" w:color="auto"/>
            </w:tcBorders>
            <w:hideMark/>
          </w:tcPr>
          <w:p w:rsidR="004E757A" w:rsidRPr="005F1FAF" w:rsidRDefault="004E757A" w:rsidP="009E618A">
            <w:pPr>
              <w:jc w:val="center"/>
              <w:rPr>
                <w:sz w:val="24"/>
                <w:szCs w:val="24"/>
              </w:rPr>
            </w:pPr>
            <w:r w:rsidRPr="005F1FAF">
              <w:rPr>
                <w:sz w:val="24"/>
                <w:szCs w:val="24"/>
              </w:rPr>
              <w:t>4</w:t>
            </w:r>
          </w:p>
        </w:tc>
        <w:tc>
          <w:tcPr>
            <w:tcW w:w="990" w:type="dxa"/>
            <w:tcBorders>
              <w:top w:val="single" w:sz="4" w:space="0" w:color="auto"/>
              <w:left w:val="single" w:sz="4" w:space="0" w:color="auto"/>
              <w:bottom w:val="single" w:sz="4" w:space="0" w:color="auto"/>
              <w:right w:val="single" w:sz="4" w:space="0" w:color="auto"/>
            </w:tcBorders>
            <w:hideMark/>
          </w:tcPr>
          <w:p w:rsidR="004E757A" w:rsidRPr="005F1FAF" w:rsidRDefault="004E757A" w:rsidP="009E618A">
            <w:pPr>
              <w:jc w:val="center"/>
              <w:rPr>
                <w:sz w:val="24"/>
                <w:szCs w:val="24"/>
              </w:rPr>
            </w:pPr>
            <w:r w:rsidRPr="005F1FAF">
              <w:rPr>
                <w:sz w:val="24"/>
                <w:szCs w:val="24"/>
              </w:rPr>
              <w:t>5</w:t>
            </w:r>
          </w:p>
        </w:tc>
        <w:tc>
          <w:tcPr>
            <w:tcW w:w="720" w:type="dxa"/>
            <w:tcBorders>
              <w:top w:val="single" w:sz="4" w:space="0" w:color="auto"/>
              <w:left w:val="single" w:sz="4" w:space="0" w:color="auto"/>
              <w:bottom w:val="single" w:sz="4" w:space="0" w:color="auto"/>
              <w:right w:val="single" w:sz="4" w:space="0" w:color="auto"/>
            </w:tcBorders>
            <w:hideMark/>
          </w:tcPr>
          <w:p w:rsidR="004E757A" w:rsidRPr="005F1FAF" w:rsidRDefault="004E757A" w:rsidP="009E618A">
            <w:pPr>
              <w:jc w:val="center"/>
              <w:rPr>
                <w:sz w:val="24"/>
                <w:szCs w:val="24"/>
              </w:rPr>
            </w:pPr>
            <w:r w:rsidRPr="005F1FAF">
              <w:rPr>
                <w:sz w:val="24"/>
                <w:szCs w:val="24"/>
              </w:rPr>
              <w:t>6</w:t>
            </w:r>
          </w:p>
        </w:tc>
        <w:tc>
          <w:tcPr>
            <w:tcW w:w="1419" w:type="dxa"/>
            <w:tcBorders>
              <w:top w:val="single" w:sz="4" w:space="0" w:color="auto"/>
              <w:left w:val="single" w:sz="4" w:space="0" w:color="auto"/>
              <w:bottom w:val="single" w:sz="4" w:space="0" w:color="auto"/>
              <w:right w:val="single" w:sz="4" w:space="0" w:color="auto"/>
            </w:tcBorders>
            <w:hideMark/>
          </w:tcPr>
          <w:p w:rsidR="004E757A" w:rsidRPr="005F1FAF" w:rsidRDefault="004E757A" w:rsidP="009E618A">
            <w:pPr>
              <w:jc w:val="center"/>
              <w:rPr>
                <w:sz w:val="24"/>
                <w:szCs w:val="24"/>
              </w:rPr>
            </w:pPr>
            <w:r w:rsidRPr="005F1FAF">
              <w:rPr>
                <w:sz w:val="24"/>
                <w:szCs w:val="24"/>
              </w:rPr>
              <w:t>7</w:t>
            </w:r>
          </w:p>
        </w:tc>
      </w:tr>
      <w:tr w:rsidR="004E757A" w:rsidRPr="005F1FAF" w:rsidTr="00792FAE">
        <w:trPr>
          <w:trHeight w:val="87"/>
        </w:trPr>
        <w:tc>
          <w:tcPr>
            <w:tcW w:w="3162" w:type="dxa"/>
            <w:tcBorders>
              <w:top w:val="single" w:sz="4" w:space="0" w:color="auto"/>
              <w:left w:val="single" w:sz="4" w:space="0" w:color="auto"/>
              <w:bottom w:val="single" w:sz="4" w:space="0" w:color="auto"/>
              <w:right w:val="single" w:sz="4" w:space="0" w:color="auto"/>
            </w:tcBorders>
            <w:hideMark/>
          </w:tcPr>
          <w:p w:rsidR="004E757A" w:rsidRPr="005F1FAF" w:rsidRDefault="004E757A" w:rsidP="009E618A">
            <w:pPr>
              <w:jc w:val="both"/>
              <w:rPr>
                <w:sz w:val="24"/>
                <w:szCs w:val="24"/>
              </w:rPr>
            </w:pPr>
            <w:r w:rsidRPr="005F1FAF">
              <w:rPr>
                <w:sz w:val="24"/>
                <w:szCs w:val="24"/>
              </w:rPr>
              <w:t>1. Modificări ale veniturilor bugetare, plus/minus, din care:</w:t>
            </w:r>
          </w:p>
        </w:tc>
        <w:tc>
          <w:tcPr>
            <w:tcW w:w="153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sz w:val="24"/>
                <w:szCs w:val="24"/>
              </w:rPr>
            </w:pPr>
          </w:p>
        </w:tc>
      </w:tr>
      <w:tr w:rsidR="004E757A" w:rsidRPr="005F1FAF" w:rsidTr="00792FAE">
        <w:trPr>
          <w:trHeight w:val="369"/>
        </w:trPr>
        <w:tc>
          <w:tcPr>
            <w:tcW w:w="3162" w:type="dxa"/>
            <w:tcBorders>
              <w:top w:val="single" w:sz="4" w:space="0" w:color="auto"/>
              <w:left w:val="single" w:sz="4" w:space="0" w:color="auto"/>
              <w:bottom w:val="single" w:sz="4" w:space="0" w:color="auto"/>
              <w:right w:val="single" w:sz="4" w:space="0" w:color="auto"/>
            </w:tcBorders>
            <w:vAlign w:val="center"/>
            <w:hideMark/>
          </w:tcPr>
          <w:p w:rsidR="004E757A" w:rsidRPr="005F1FAF" w:rsidRDefault="004E757A" w:rsidP="009E618A">
            <w:pPr>
              <w:pStyle w:val="StyleNORMALArialFirstline0cm"/>
              <w:spacing w:before="0" w:after="0"/>
              <w:jc w:val="left"/>
              <w:rPr>
                <w:rFonts w:ascii="Times New Roman" w:hAnsi="Times New Roman"/>
                <w:lang w:val="ro-RO"/>
              </w:rPr>
            </w:pPr>
            <w:r w:rsidRPr="005F1FAF">
              <w:rPr>
                <w:rFonts w:ascii="Times New Roman" w:hAnsi="Times New Roman"/>
                <w:lang w:val="ro-RO"/>
              </w:rPr>
              <w:t>a) buget de stat, din acesta:</w:t>
            </w:r>
          </w:p>
        </w:tc>
        <w:tc>
          <w:tcPr>
            <w:tcW w:w="153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jc w:val="cente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jc w:val="cente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pStyle w:val="StyleNORMALArialFirstline0cm"/>
              <w:spacing w:before="0" w:after="0"/>
              <w:rPr>
                <w:rFonts w:ascii="Times New Roman" w:hAnsi="Times New Roman"/>
                <w:b/>
                <w:lang w:val="ro-RO"/>
              </w:rPr>
            </w:pPr>
          </w:p>
        </w:tc>
      </w:tr>
      <w:tr w:rsidR="004E757A" w:rsidRPr="005F1FAF" w:rsidTr="00792FAE">
        <w:trPr>
          <w:trHeight w:val="340"/>
        </w:trPr>
        <w:tc>
          <w:tcPr>
            <w:tcW w:w="3162" w:type="dxa"/>
            <w:tcBorders>
              <w:top w:val="single" w:sz="4" w:space="0" w:color="auto"/>
              <w:left w:val="single" w:sz="4" w:space="0" w:color="auto"/>
              <w:bottom w:val="single" w:sz="4" w:space="0" w:color="auto"/>
              <w:right w:val="single" w:sz="4" w:space="0" w:color="auto"/>
            </w:tcBorders>
            <w:vAlign w:val="center"/>
            <w:hideMark/>
          </w:tcPr>
          <w:p w:rsidR="004E757A" w:rsidRPr="005F1FAF" w:rsidRDefault="004E757A" w:rsidP="009E618A">
            <w:pPr>
              <w:pStyle w:val="StyleNORMALArialFirstline0cm"/>
              <w:spacing w:before="0" w:after="0"/>
              <w:jc w:val="left"/>
              <w:rPr>
                <w:rFonts w:ascii="Times New Roman" w:hAnsi="Times New Roman"/>
                <w:lang w:val="ro-RO"/>
              </w:rPr>
            </w:pPr>
            <w:r w:rsidRPr="005F1FAF">
              <w:rPr>
                <w:rFonts w:ascii="Times New Roman" w:hAnsi="Times New Roman"/>
                <w:lang w:val="ro-RO"/>
              </w:rPr>
              <w:t>b) bugete locale:</w:t>
            </w:r>
          </w:p>
        </w:tc>
        <w:tc>
          <w:tcPr>
            <w:tcW w:w="153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jc w:val="cente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jc w:val="cente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pStyle w:val="StyleNORMALArialFirstline0cm"/>
              <w:spacing w:before="0" w:after="0"/>
              <w:rPr>
                <w:rFonts w:ascii="Times New Roman" w:hAnsi="Times New Roman"/>
                <w:b/>
                <w:lang w:val="ro-RO"/>
              </w:rPr>
            </w:pPr>
          </w:p>
        </w:tc>
      </w:tr>
      <w:tr w:rsidR="004E757A" w:rsidRPr="005F1FAF" w:rsidTr="00792FAE">
        <w:trPr>
          <w:trHeight w:val="328"/>
        </w:trPr>
        <w:tc>
          <w:tcPr>
            <w:tcW w:w="3162" w:type="dxa"/>
            <w:tcBorders>
              <w:top w:val="single" w:sz="4" w:space="0" w:color="auto"/>
              <w:left w:val="single" w:sz="4" w:space="0" w:color="auto"/>
              <w:bottom w:val="single" w:sz="4" w:space="0" w:color="auto"/>
              <w:right w:val="single" w:sz="4" w:space="0" w:color="auto"/>
            </w:tcBorders>
            <w:vAlign w:val="center"/>
            <w:hideMark/>
          </w:tcPr>
          <w:p w:rsidR="004E757A" w:rsidRPr="005F1FAF" w:rsidRDefault="004E757A" w:rsidP="009E618A">
            <w:pPr>
              <w:pStyle w:val="StyleNORMALArialFirstline0cm"/>
              <w:spacing w:before="0" w:after="0"/>
              <w:jc w:val="left"/>
              <w:rPr>
                <w:rFonts w:ascii="Times New Roman" w:hAnsi="Times New Roman"/>
                <w:lang w:val="ro-RO"/>
              </w:rPr>
            </w:pPr>
            <w:r w:rsidRPr="005F1FAF">
              <w:rPr>
                <w:rFonts w:ascii="Times New Roman" w:hAnsi="Times New Roman"/>
                <w:lang w:val="ro-RO"/>
              </w:rPr>
              <w:t>c) bugetul asigurărilor sociale de stat:</w:t>
            </w:r>
          </w:p>
        </w:tc>
        <w:tc>
          <w:tcPr>
            <w:tcW w:w="153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jc w:val="cente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jc w:val="cente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pStyle w:val="StyleNORMALArialFirstline0cm"/>
              <w:spacing w:before="0" w:after="0"/>
              <w:rPr>
                <w:rFonts w:ascii="Times New Roman" w:hAnsi="Times New Roman"/>
                <w:b/>
                <w:lang w:val="ro-RO"/>
              </w:rPr>
            </w:pPr>
          </w:p>
        </w:tc>
      </w:tr>
      <w:tr w:rsidR="004E757A" w:rsidRPr="005F1FAF" w:rsidTr="00792FAE">
        <w:trPr>
          <w:trHeight w:val="454"/>
        </w:trPr>
        <w:tc>
          <w:tcPr>
            <w:tcW w:w="3162" w:type="dxa"/>
            <w:tcBorders>
              <w:top w:val="single" w:sz="4" w:space="0" w:color="auto"/>
              <w:left w:val="single" w:sz="4" w:space="0" w:color="auto"/>
              <w:bottom w:val="single" w:sz="4" w:space="0" w:color="auto"/>
              <w:right w:val="single" w:sz="4" w:space="0" w:color="auto"/>
            </w:tcBorders>
            <w:vAlign w:val="center"/>
            <w:hideMark/>
          </w:tcPr>
          <w:p w:rsidR="004E757A" w:rsidRPr="005F1FAF" w:rsidRDefault="004E757A" w:rsidP="009E618A">
            <w:pPr>
              <w:pStyle w:val="StyleNORMALArialFirstline0cm"/>
              <w:spacing w:before="0" w:after="0"/>
              <w:rPr>
                <w:rFonts w:ascii="Times New Roman" w:hAnsi="Times New Roman"/>
                <w:lang w:val="ro-RO"/>
              </w:rPr>
            </w:pPr>
            <w:r w:rsidRPr="005F1FAF">
              <w:rPr>
                <w:rFonts w:ascii="Times New Roman" w:hAnsi="Times New Roman"/>
                <w:lang w:val="ro-RO"/>
              </w:rPr>
              <w:t>2.Modificări ale cheltuielilor bugetare, plus/minus, din care:</w:t>
            </w:r>
          </w:p>
        </w:tc>
        <w:tc>
          <w:tcPr>
            <w:tcW w:w="153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jc w:val="cente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jc w:val="center"/>
              <w:rPr>
                <w:sz w:val="24"/>
                <w:szCs w:val="24"/>
              </w:rPr>
            </w:pPr>
          </w:p>
          <w:p w:rsidR="004E757A" w:rsidRPr="005F1FAF" w:rsidRDefault="004E757A" w:rsidP="009E618A">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jc w:val="center"/>
              <w:rPr>
                <w:sz w:val="24"/>
                <w:szCs w:val="24"/>
              </w:rPr>
            </w:pPr>
          </w:p>
          <w:p w:rsidR="004E757A" w:rsidRPr="005F1FAF" w:rsidRDefault="004E757A" w:rsidP="009E618A">
            <w:pPr>
              <w:jc w:val="cente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pStyle w:val="StyleNORMALArialFirstline0cm"/>
              <w:spacing w:before="0" w:after="0"/>
              <w:rPr>
                <w:rFonts w:ascii="Times New Roman" w:hAnsi="Times New Roman"/>
                <w:b/>
                <w:lang w:val="ro-RO"/>
              </w:rPr>
            </w:pPr>
          </w:p>
        </w:tc>
      </w:tr>
      <w:tr w:rsidR="004E757A" w:rsidRPr="005F1FAF" w:rsidTr="00792FAE">
        <w:trPr>
          <w:trHeight w:val="349"/>
        </w:trPr>
        <w:tc>
          <w:tcPr>
            <w:tcW w:w="3162" w:type="dxa"/>
            <w:tcBorders>
              <w:top w:val="single" w:sz="4" w:space="0" w:color="auto"/>
              <w:left w:val="single" w:sz="4" w:space="0" w:color="auto"/>
              <w:bottom w:val="single" w:sz="4" w:space="0" w:color="auto"/>
              <w:right w:val="single" w:sz="4" w:space="0" w:color="auto"/>
            </w:tcBorders>
            <w:vAlign w:val="center"/>
            <w:hideMark/>
          </w:tcPr>
          <w:p w:rsidR="004E757A" w:rsidRPr="005F1FAF" w:rsidRDefault="004E757A" w:rsidP="009E618A">
            <w:pPr>
              <w:rPr>
                <w:sz w:val="24"/>
                <w:szCs w:val="24"/>
              </w:rPr>
            </w:pPr>
            <w:r w:rsidRPr="005F1FAF">
              <w:rPr>
                <w:sz w:val="24"/>
                <w:szCs w:val="24"/>
              </w:rPr>
              <w:t>a) bugetul de stat, din acesta:</w:t>
            </w:r>
          </w:p>
        </w:tc>
        <w:tc>
          <w:tcPr>
            <w:tcW w:w="153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jc w:val="center"/>
              <w:rPr>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b/>
                <w:sz w:val="24"/>
                <w:szCs w:val="24"/>
              </w:rPr>
            </w:pPr>
          </w:p>
        </w:tc>
      </w:tr>
      <w:tr w:rsidR="004E757A" w:rsidRPr="005F1FAF" w:rsidTr="00792FAE">
        <w:trPr>
          <w:trHeight w:val="163"/>
        </w:trPr>
        <w:tc>
          <w:tcPr>
            <w:tcW w:w="3162" w:type="dxa"/>
            <w:tcBorders>
              <w:top w:val="single" w:sz="4" w:space="0" w:color="auto"/>
              <w:left w:val="single" w:sz="4" w:space="0" w:color="auto"/>
              <w:bottom w:val="single" w:sz="4" w:space="0" w:color="auto"/>
              <w:right w:val="single" w:sz="4" w:space="0" w:color="auto"/>
            </w:tcBorders>
            <w:vAlign w:val="center"/>
            <w:hideMark/>
          </w:tcPr>
          <w:p w:rsidR="004E757A" w:rsidRPr="005F1FAF" w:rsidRDefault="004E757A" w:rsidP="009E618A">
            <w:pPr>
              <w:rPr>
                <w:sz w:val="24"/>
                <w:szCs w:val="24"/>
              </w:rPr>
            </w:pPr>
            <w:r w:rsidRPr="005F1FAF">
              <w:rPr>
                <w:sz w:val="24"/>
                <w:szCs w:val="24"/>
              </w:rPr>
              <w:t>(i) cheltuieli de personal</w:t>
            </w:r>
          </w:p>
        </w:tc>
        <w:tc>
          <w:tcPr>
            <w:tcW w:w="153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jc w:val="center"/>
              <w:rPr>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b/>
                <w:sz w:val="24"/>
                <w:szCs w:val="24"/>
              </w:rPr>
            </w:pPr>
          </w:p>
        </w:tc>
      </w:tr>
      <w:tr w:rsidR="004E757A" w:rsidRPr="005F1FAF" w:rsidTr="00792FAE">
        <w:trPr>
          <w:trHeight w:val="340"/>
        </w:trPr>
        <w:tc>
          <w:tcPr>
            <w:tcW w:w="3162" w:type="dxa"/>
            <w:tcBorders>
              <w:top w:val="single" w:sz="4" w:space="0" w:color="auto"/>
              <w:left w:val="single" w:sz="4" w:space="0" w:color="auto"/>
              <w:bottom w:val="single" w:sz="4" w:space="0" w:color="auto"/>
              <w:right w:val="single" w:sz="4" w:space="0" w:color="auto"/>
            </w:tcBorders>
            <w:vAlign w:val="center"/>
            <w:hideMark/>
          </w:tcPr>
          <w:p w:rsidR="004E757A" w:rsidRPr="005F1FAF" w:rsidRDefault="004E757A" w:rsidP="009E618A">
            <w:pPr>
              <w:rPr>
                <w:sz w:val="24"/>
                <w:szCs w:val="24"/>
              </w:rPr>
            </w:pPr>
            <w:r w:rsidRPr="005F1FAF">
              <w:rPr>
                <w:sz w:val="24"/>
                <w:szCs w:val="24"/>
              </w:rPr>
              <w:t>(ii) bunuri si servicii</w:t>
            </w:r>
          </w:p>
        </w:tc>
        <w:tc>
          <w:tcPr>
            <w:tcW w:w="153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jc w:val="center"/>
              <w:rPr>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b/>
                <w:sz w:val="24"/>
                <w:szCs w:val="24"/>
              </w:rPr>
            </w:pPr>
          </w:p>
        </w:tc>
      </w:tr>
      <w:tr w:rsidR="004E757A" w:rsidRPr="005F1FAF" w:rsidTr="00792FAE">
        <w:trPr>
          <w:trHeight w:val="347"/>
        </w:trPr>
        <w:tc>
          <w:tcPr>
            <w:tcW w:w="3162" w:type="dxa"/>
            <w:tcBorders>
              <w:top w:val="single" w:sz="4" w:space="0" w:color="auto"/>
              <w:left w:val="single" w:sz="4" w:space="0" w:color="auto"/>
              <w:bottom w:val="single" w:sz="4" w:space="0" w:color="auto"/>
              <w:right w:val="single" w:sz="4" w:space="0" w:color="auto"/>
            </w:tcBorders>
            <w:vAlign w:val="center"/>
            <w:hideMark/>
          </w:tcPr>
          <w:p w:rsidR="004E757A" w:rsidRPr="005F1FAF" w:rsidRDefault="004E757A" w:rsidP="009E618A">
            <w:pPr>
              <w:rPr>
                <w:sz w:val="24"/>
                <w:szCs w:val="24"/>
              </w:rPr>
            </w:pPr>
            <w:r w:rsidRPr="005F1FAF">
              <w:rPr>
                <w:sz w:val="24"/>
                <w:szCs w:val="24"/>
              </w:rPr>
              <w:t>b) bugete locale:</w:t>
            </w:r>
          </w:p>
        </w:tc>
        <w:tc>
          <w:tcPr>
            <w:tcW w:w="153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jc w:val="center"/>
              <w:rPr>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b/>
                <w:sz w:val="24"/>
                <w:szCs w:val="24"/>
              </w:rPr>
            </w:pPr>
          </w:p>
        </w:tc>
      </w:tr>
      <w:tr w:rsidR="004E757A" w:rsidRPr="005F1FAF" w:rsidTr="00792FAE">
        <w:trPr>
          <w:trHeight w:val="341"/>
        </w:trPr>
        <w:tc>
          <w:tcPr>
            <w:tcW w:w="3162" w:type="dxa"/>
            <w:tcBorders>
              <w:top w:val="single" w:sz="4" w:space="0" w:color="auto"/>
              <w:left w:val="single" w:sz="4" w:space="0" w:color="auto"/>
              <w:bottom w:val="single" w:sz="4" w:space="0" w:color="auto"/>
              <w:right w:val="single" w:sz="4" w:space="0" w:color="auto"/>
            </w:tcBorders>
            <w:vAlign w:val="center"/>
            <w:hideMark/>
          </w:tcPr>
          <w:p w:rsidR="004E757A" w:rsidRPr="005F1FAF" w:rsidRDefault="004E757A" w:rsidP="009E618A">
            <w:pPr>
              <w:rPr>
                <w:sz w:val="24"/>
                <w:szCs w:val="24"/>
              </w:rPr>
            </w:pPr>
            <w:r w:rsidRPr="005F1FAF">
              <w:rPr>
                <w:sz w:val="24"/>
                <w:szCs w:val="24"/>
              </w:rPr>
              <w:t>(i) cheltuieli de personal</w:t>
            </w:r>
          </w:p>
        </w:tc>
        <w:tc>
          <w:tcPr>
            <w:tcW w:w="153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jc w:val="center"/>
              <w:rPr>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b/>
                <w:sz w:val="24"/>
                <w:szCs w:val="24"/>
              </w:rPr>
            </w:pPr>
          </w:p>
        </w:tc>
      </w:tr>
      <w:tr w:rsidR="004E757A" w:rsidRPr="005F1FAF" w:rsidTr="00792FAE">
        <w:trPr>
          <w:trHeight w:val="349"/>
        </w:trPr>
        <w:tc>
          <w:tcPr>
            <w:tcW w:w="3162" w:type="dxa"/>
            <w:tcBorders>
              <w:top w:val="single" w:sz="4" w:space="0" w:color="auto"/>
              <w:left w:val="single" w:sz="4" w:space="0" w:color="auto"/>
              <w:bottom w:val="single" w:sz="4" w:space="0" w:color="auto"/>
              <w:right w:val="single" w:sz="4" w:space="0" w:color="auto"/>
            </w:tcBorders>
            <w:vAlign w:val="center"/>
            <w:hideMark/>
          </w:tcPr>
          <w:p w:rsidR="004E757A" w:rsidRPr="005F1FAF" w:rsidRDefault="004E757A" w:rsidP="009E618A">
            <w:pPr>
              <w:rPr>
                <w:sz w:val="24"/>
                <w:szCs w:val="24"/>
              </w:rPr>
            </w:pPr>
            <w:r w:rsidRPr="005F1FAF">
              <w:rPr>
                <w:sz w:val="24"/>
                <w:szCs w:val="24"/>
              </w:rPr>
              <w:t xml:space="preserve">(ii) bunuri </w:t>
            </w:r>
            <w:proofErr w:type="spellStart"/>
            <w:r w:rsidRPr="005F1FAF">
              <w:rPr>
                <w:sz w:val="24"/>
                <w:szCs w:val="24"/>
              </w:rPr>
              <w:t>şi</w:t>
            </w:r>
            <w:proofErr w:type="spellEnd"/>
            <w:r w:rsidRPr="005F1FAF">
              <w:rPr>
                <w:sz w:val="24"/>
                <w:szCs w:val="24"/>
              </w:rPr>
              <w:t xml:space="preserve"> servicii</w:t>
            </w:r>
          </w:p>
        </w:tc>
        <w:tc>
          <w:tcPr>
            <w:tcW w:w="153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jc w:val="center"/>
              <w:rPr>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b/>
                <w:sz w:val="24"/>
                <w:szCs w:val="24"/>
              </w:rPr>
            </w:pPr>
          </w:p>
        </w:tc>
      </w:tr>
      <w:tr w:rsidR="004E757A" w:rsidRPr="005F1FAF" w:rsidTr="00792FAE">
        <w:trPr>
          <w:trHeight w:val="343"/>
        </w:trPr>
        <w:tc>
          <w:tcPr>
            <w:tcW w:w="3162" w:type="dxa"/>
            <w:tcBorders>
              <w:top w:val="single" w:sz="4" w:space="0" w:color="auto"/>
              <w:left w:val="single" w:sz="4" w:space="0" w:color="auto"/>
              <w:bottom w:val="single" w:sz="4" w:space="0" w:color="auto"/>
              <w:right w:val="single" w:sz="4" w:space="0" w:color="auto"/>
            </w:tcBorders>
            <w:vAlign w:val="center"/>
            <w:hideMark/>
          </w:tcPr>
          <w:p w:rsidR="004E757A" w:rsidRPr="005F1FAF" w:rsidRDefault="004E757A" w:rsidP="009E618A">
            <w:pPr>
              <w:rPr>
                <w:sz w:val="24"/>
                <w:szCs w:val="24"/>
              </w:rPr>
            </w:pPr>
            <w:r w:rsidRPr="005F1FAF">
              <w:rPr>
                <w:sz w:val="24"/>
                <w:szCs w:val="24"/>
              </w:rPr>
              <w:t>c) bugetul asigurărilor sociale de stat:</w:t>
            </w:r>
          </w:p>
        </w:tc>
        <w:tc>
          <w:tcPr>
            <w:tcW w:w="153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jc w:val="center"/>
              <w:rPr>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b/>
                <w:sz w:val="24"/>
                <w:szCs w:val="24"/>
              </w:rPr>
            </w:pPr>
          </w:p>
        </w:tc>
      </w:tr>
      <w:tr w:rsidR="004E757A" w:rsidRPr="005F1FAF" w:rsidTr="00792FAE">
        <w:trPr>
          <w:trHeight w:val="351"/>
        </w:trPr>
        <w:tc>
          <w:tcPr>
            <w:tcW w:w="3162" w:type="dxa"/>
            <w:tcBorders>
              <w:top w:val="single" w:sz="4" w:space="0" w:color="auto"/>
              <w:left w:val="single" w:sz="4" w:space="0" w:color="auto"/>
              <w:bottom w:val="single" w:sz="4" w:space="0" w:color="auto"/>
              <w:right w:val="single" w:sz="4" w:space="0" w:color="auto"/>
            </w:tcBorders>
            <w:vAlign w:val="center"/>
            <w:hideMark/>
          </w:tcPr>
          <w:p w:rsidR="004E757A" w:rsidRPr="005F1FAF" w:rsidRDefault="004E757A" w:rsidP="009E618A">
            <w:pPr>
              <w:rPr>
                <w:sz w:val="24"/>
                <w:szCs w:val="24"/>
              </w:rPr>
            </w:pPr>
            <w:r w:rsidRPr="005F1FAF">
              <w:rPr>
                <w:sz w:val="24"/>
                <w:szCs w:val="24"/>
              </w:rPr>
              <w:t>(i) cheltuieli de personal</w:t>
            </w:r>
          </w:p>
        </w:tc>
        <w:tc>
          <w:tcPr>
            <w:tcW w:w="153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jc w:val="center"/>
              <w:rPr>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b/>
                <w:sz w:val="24"/>
                <w:szCs w:val="24"/>
              </w:rPr>
            </w:pPr>
          </w:p>
        </w:tc>
      </w:tr>
      <w:tr w:rsidR="004E757A" w:rsidRPr="005F1FAF" w:rsidTr="00792FAE">
        <w:trPr>
          <w:trHeight w:val="345"/>
        </w:trPr>
        <w:tc>
          <w:tcPr>
            <w:tcW w:w="3162" w:type="dxa"/>
            <w:tcBorders>
              <w:top w:val="single" w:sz="4" w:space="0" w:color="auto"/>
              <w:left w:val="single" w:sz="4" w:space="0" w:color="auto"/>
              <w:bottom w:val="single" w:sz="4" w:space="0" w:color="auto"/>
              <w:right w:val="single" w:sz="4" w:space="0" w:color="auto"/>
            </w:tcBorders>
            <w:vAlign w:val="center"/>
            <w:hideMark/>
          </w:tcPr>
          <w:p w:rsidR="004E757A" w:rsidRPr="005F1FAF" w:rsidRDefault="004E757A" w:rsidP="009E618A">
            <w:pPr>
              <w:rPr>
                <w:sz w:val="24"/>
                <w:szCs w:val="24"/>
              </w:rPr>
            </w:pPr>
            <w:r w:rsidRPr="005F1FAF">
              <w:rPr>
                <w:sz w:val="24"/>
                <w:szCs w:val="24"/>
              </w:rPr>
              <w:t>(ii) bunuri si servicii</w:t>
            </w:r>
          </w:p>
        </w:tc>
        <w:tc>
          <w:tcPr>
            <w:tcW w:w="153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jc w:val="center"/>
              <w:rPr>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b/>
                <w:sz w:val="24"/>
                <w:szCs w:val="24"/>
              </w:rPr>
            </w:pPr>
          </w:p>
        </w:tc>
      </w:tr>
      <w:tr w:rsidR="004E757A" w:rsidRPr="005F1FAF" w:rsidTr="00792FAE">
        <w:trPr>
          <w:trHeight w:val="380"/>
        </w:trPr>
        <w:tc>
          <w:tcPr>
            <w:tcW w:w="3162" w:type="dxa"/>
            <w:tcBorders>
              <w:top w:val="single" w:sz="4" w:space="0" w:color="auto"/>
              <w:left w:val="single" w:sz="4" w:space="0" w:color="auto"/>
              <w:bottom w:val="single" w:sz="4" w:space="0" w:color="auto"/>
              <w:right w:val="single" w:sz="4" w:space="0" w:color="auto"/>
            </w:tcBorders>
            <w:vAlign w:val="center"/>
            <w:hideMark/>
          </w:tcPr>
          <w:p w:rsidR="004E757A" w:rsidRPr="005F1FAF" w:rsidRDefault="004E757A" w:rsidP="009E618A">
            <w:pPr>
              <w:jc w:val="both"/>
              <w:rPr>
                <w:sz w:val="24"/>
                <w:szCs w:val="24"/>
              </w:rPr>
            </w:pPr>
            <w:r w:rsidRPr="005F1FAF">
              <w:rPr>
                <w:sz w:val="24"/>
                <w:szCs w:val="24"/>
              </w:rPr>
              <w:t>3.Impact financiar, plus/minus, din care:</w:t>
            </w:r>
          </w:p>
        </w:tc>
        <w:tc>
          <w:tcPr>
            <w:tcW w:w="153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jc w:val="center"/>
              <w:rPr>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jc w:val="center"/>
              <w:rPr>
                <w:sz w:val="24"/>
                <w:szCs w:val="24"/>
              </w:rPr>
            </w:pPr>
          </w:p>
          <w:p w:rsidR="004E757A" w:rsidRPr="005F1FAF" w:rsidRDefault="004E757A" w:rsidP="009E618A">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sz w:val="24"/>
                <w:szCs w:val="24"/>
              </w:rPr>
            </w:pPr>
          </w:p>
          <w:p w:rsidR="004E757A" w:rsidRPr="005F1FAF" w:rsidRDefault="004E757A" w:rsidP="009E618A">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b/>
                <w:sz w:val="24"/>
                <w:szCs w:val="24"/>
              </w:rPr>
            </w:pPr>
          </w:p>
        </w:tc>
      </w:tr>
      <w:tr w:rsidR="004E757A" w:rsidRPr="005F1FAF" w:rsidTr="00792FAE">
        <w:trPr>
          <w:trHeight w:val="361"/>
        </w:trPr>
        <w:tc>
          <w:tcPr>
            <w:tcW w:w="3162" w:type="dxa"/>
            <w:tcBorders>
              <w:top w:val="single" w:sz="4" w:space="0" w:color="auto"/>
              <w:left w:val="single" w:sz="4" w:space="0" w:color="auto"/>
              <w:bottom w:val="single" w:sz="4" w:space="0" w:color="auto"/>
              <w:right w:val="single" w:sz="4" w:space="0" w:color="auto"/>
            </w:tcBorders>
            <w:vAlign w:val="center"/>
            <w:hideMark/>
          </w:tcPr>
          <w:p w:rsidR="004E757A" w:rsidRPr="005F1FAF" w:rsidRDefault="004E757A" w:rsidP="009E618A">
            <w:pPr>
              <w:rPr>
                <w:sz w:val="24"/>
                <w:szCs w:val="24"/>
              </w:rPr>
            </w:pPr>
            <w:r w:rsidRPr="005F1FAF">
              <w:rPr>
                <w:sz w:val="24"/>
                <w:szCs w:val="24"/>
              </w:rPr>
              <w:t>a) bugetul de stat</w:t>
            </w:r>
          </w:p>
        </w:tc>
        <w:tc>
          <w:tcPr>
            <w:tcW w:w="153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b/>
                <w:sz w:val="24"/>
                <w:szCs w:val="24"/>
              </w:rPr>
            </w:pPr>
          </w:p>
        </w:tc>
        <w:tc>
          <w:tcPr>
            <w:tcW w:w="1419"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b/>
                <w:sz w:val="24"/>
                <w:szCs w:val="24"/>
              </w:rPr>
            </w:pPr>
          </w:p>
        </w:tc>
      </w:tr>
      <w:tr w:rsidR="004E757A" w:rsidRPr="005F1FAF" w:rsidTr="00792FAE">
        <w:trPr>
          <w:trHeight w:val="299"/>
        </w:trPr>
        <w:tc>
          <w:tcPr>
            <w:tcW w:w="3162" w:type="dxa"/>
            <w:tcBorders>
              <w:top w:val="single" w:sz="4" w:space="0" w:color="auto"/>
              <w:left w:val="single" w:sz="4" w:space="0" w:color="auto"/>
              <w:bottom w:val="single" w:sz="4" w:space="0" w:color="auto"/>
              <w:right w:val="single" w:sz="4" w:space="0" w:color="auto"/>
            </w:tcBorders>
            <w:vAlign w:val="center"/>
            <w:hideMark/>
          </w:tcPr>
          <w:p w:rsidR="004E757A" w:rsidRPr="005F1FAF" w:rsidRDefault="004E757A" w:rsidP="009E618A">
            <w:pPr>
              <w:rPr>
                <w:sz w:val="24"/>
                <w:szCs w:val="24"/>
              </w:rPr>
            </w:pPr>
            <w:r w:rsidRPr="005F1FAF">
              <w:rPr>
                <w:sz w:val="24"/>
                <w:szCs w:val="24"/>
              </w:rPr>
              <w:t>b) bugete locale</w:t>
            </w:r>
          </w:p>
        </w:tc>
        <w:tc>
          <w:tcPr>
            <w:tcW w:w="153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b/>
                <w:sz w:val="24"/>
                <w:szCs w:val="24"/>
              </w:rPr>
            </w:pPr>
          </w:p>
        </w:tc>
        <w:tc>
          <w:tcPr>
            <w:tcW w:w="1419"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b/>
                <w:sz w:val="24"/>
                <w:szCs w:val="24"/>
              </w:rPr>
            </w:pPr>
          </w:p>
        </w:tc>
      </w:tr>
      <w:tr w:rsidR="004E757A" w:rsidRPr="005F1FAF" w:rsidTr="00792FAE">
        <w:trPr>
          <w:trHeight w:val="491"/>
        </w:trPr>
        <w:tc>
          <w:tcPr>
            <w:tcW w:w="3162" w:type="dxa"/>
            <w:tcBorders>
              <w:top w:val="single" w:sz="4" w:space="0" w:color="auto"/>
              <w:left w:val="single" w:sz="4" w:space="0" w:color="auto"/>
              <w:bottom w:val="single" w:sz="4" w:space="0" w:color="auto"/>
              <w:right w:val="single" w:sz="4" w:space="0" w:color="auto"/>
            </w:tcBorders>
            <w:vAlign w:val="center"/>
            <w:hideMark/>
          </w:tcPr>
          <w:p w:rsidR="004E757A" w:rsidRPr="005F1FAF" w:rsidRDefault="004E757A" w:rsidP="009E618A">
            <w:pPr>
              <w:jc w:val="both"/>
              <w:rPr>
                <w:sz w:val="24"/>
                <w:szCs w:val="24"/>
              </w:rPr>
            </w:pPr>
            <w:r w:rsidRPr="005F1FAF">
              <w:rPr>
                <w:sz w:val="24"/>
                <w:szCs w:val="24"/>
              </w:rPr>
              <w:t xml:space="preserve">4.Propuneri pentru acoperirea </w:t>
            </w:r>
            <w:proofErr w:type="spellStart"/>
            <w:r w:rsidRPr="005F1FAF">
              <w:rPr>
                <w:sz w:val="24"/>
                <w:szCs w:val="24"/>
              </w:rPr>
              <w:t>creşterii</w:t>
            </w:r>
            <w:proofErr w:type="spellEnd"/>
            <w:r w:rsidRPr="005F1FAF">
              <w:rPr>
                <w:sz w:val="24"/>
                <w:szCs w:val="24"/>
              </w:rPr>
              <w:t xml:space="preserve"> cheltuielilor bugetare</w:t>
            </w:r>
          </w:p>
        </w:tc>
        <w:tc>
          <w:tcPr>
            <w:tcW w:w="153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b/>
                <w:sz w:val="24"/>
                <w:szCs w:val="24"/>
              </w:rPr>
            </w:pPr>
          </w:p>
        </w:tc>
        <w:tc>
          <w:tcPr>
            <w:tcW w:w="1419"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b/>
                <w:sz w:val="24"/>
                <w:szCs w:val="24"/>
              </w:rPr>
            </w:pPr>
          </w:p>
        </w:tc>
      </w:tr>
      <w:tr w:rsidR="004E757A" w:rsidRPr="005F1FAF" w:rsidTr="00792FAE">
        <w:trPr>
          <w:trHeight w:val="502"/>
        </w:trPr>
        <w:tc>
          <w:tcPr>
            <w:tcW w:w="3162" w:type="dxa"/>
            <w:tcBorders>
              <w:top w:val="single" w:sz="4" w:space="0" w:color="auto"/>
              <w:left w:val="single" w:sz="4" w:space="0" w:color="auto"/>
              <w:bottom w:val="single" w:sz="4" w:space="0" w:color="auto"/>
              <w:right w:val="single" w:sz="4" w:space="0" w:color="auto"/>
            </w:tcBorders>
            <w:hideMark/>
          </w:tcPr>
          <w:p w:rsidR="004E757A" w:rsidRPr="005F1FAF" w:rsidRDefault="004E757A" w:rsidP="009E618A">
            <w:pPr>
              <w:jc w:val="both"/>
              <w:rPr>
                <w:sz w:val="24"/>
                <w:szCs w:val="24"/>
              </w:rPr>
            </w:pPr>
            <w:r w:rsidRPr="005F1FAF">
              <w:rPr>
                <w:sz w:val="24"/>
                <w:szCs w:val="24"/>
              </w:rPr>
              <w:t>5.Propuneri pentru a compensa reducerea veniturilor bugetare.</w:t>
            </w:r>
          </w:p>
        </w:tc>
        <w:tc>
          <w:tcPr>
            <w:tcW w:w="153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b/>
                <w:sz w:val="24"/>
                <w:szCs w:val="24"/>
              </w:rPr>
            </w:pPr>
          </w:p>
        </w:tc>
        <w:tc>
          <w:tcPr>
            <w:tcW w:w="1419"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b/>
                <w:sz w:val="24"/>
                <w:szCs w:val="24"/>
              </w:rPr>
            </w:pPr>
          </w:p>
        </w:tc>
      </w:tr>
      <w:tr w:rsidR="004E757A" w:rsidRPr="005F1FAF" w:rsidTr="00792FAE">
        <w:trPr>
          <w:trHeight w:val="881"/>
        </w:trPr>
        <w:tc>
          <w:tcPr>
            <w:tcW w:w="3162" w:type="dxa"/>
            <w:tcBorders>
              <w:top w:val="single" w:sz="4" w:space="0" w:color="auto"/>
              <w:left w:val="single" w:sz="4" w:space="0" w:color="auto"/>
              <w:bottom w:val="single" w:sz="4" w:space="0" w:color="auto"/>
              <w:right w:val="single" w:sz="4" w:space="0" w:color="auto"/>
            </w:tcBorders>
            <w:hideMark/>
          </w:tcPr>
          <w:p w:rsidR="004E757A" w:rsidRPr="005F1FAF" w:rsidRDefault="004E757A" w:rsidP="009E618A">
            <w:pPr>
              <w:jc w:val="both"/>
              <w:rPr>
                <w:sz w:val="24"/>
                <w:szCs w:val="24"/>
              </w:rPr>
            </w:pPr>
            <w:r w:rsidRPr="005F1FAF">
              <w:rPr>
                <w:sz w:val="24"/>
                <w:szCs w:val="24"/>
              </w:rPr>
              <w:t>6.Calcule detaliate privind fundamentarea modificărilor cheltuielilor bugetare</w:t>
            </w:r>
          </w:p>
        </w:tc>
        <w:tc>
          <w:tcPr>
            <w:tcW w:w="153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sz w:val="24"/>
                <w:szCs w:val="24"/>
              </w:rPr>
            </w:pPr>
          </w:p>
          <w:p w:rsidR="004E757A" w:rsidRPr="005F1FAF" w:rsidRDefault="004E757A" w:rsidP="009E618A">
            <w:pPr>
              <w:rPr>
                <w:sz w:val="24"/>
                <w:szCs w:val="24"/>
              </w:rPr>
            </w:pPr>
          </w:p>
          <w:p w:rsidR="004E757A" w:rsidRPr="005F1FAF" w:rsidRDefault="004E757A" w:rsidP="009E618A">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b/>
                <w:sz w:val="24"/>
                <w:szCs w:val="24"/>
              </w:rPr>
            </w:pPr>
          </w:p>
        </w:tc>
        <w:tc>
          <w:tcPr>
            <w:tcW w:w="1419" w:type="dxa"/>
            <w:tcBorders>
              <w:top w:val="single" w:sz="4" w:space="0" w:color="auto"/>
              <w:left w:val="single" w:sz="4" w:space="0" w:color="auto"/>
              <w:bottom w:val="single" w:sz="4" w:space="0" w:color="auto"/>
              <w:right w:val="single" w:sz="4" w:space="0" w:color="auto"/>
            </w:tcBorders>
          </w:tcPr>
          <w:p w:rsidR="004E757A" w:rsidRPr="005F1FAF" w:rsidRDefault="004E757A" w:rsidP="009E618A">
            <w:pPr>
              <w:rPr>
                <w:b/>
                <w:sz w:val="24"/>
                <w:szCs w:val="24"/>
              </w:rPr>
            </w:pPr>
          </w:p>
        </w:tc>
      </w:tr>
      <w:tr w:rsidR="004E757A" w:rsidRPr="005F1FAF" w:rsidTr="00FB3E1B">
        <w:trPr>
          <w:trHeight w:val="2492"/>
        </w:trPr>
        <w:tc>
          <w:tcPr>
            <w:tcW w:w="3162" w:type="dxa"/>
            <w:tcBorders>
              <w:top w:val="single" w:sz="4" w:space="0" w:color="auto"/>
              <w:left w:val="single" w:sz="4" w:space="0" w:color="auto"/>
              <w:bottom w:val="single" w:sz="4" w:space="0" w:color="auto"/>
              <w:right w:val="single" w:sz="4" w:space="0" w:color="auto"/>
            </w:tcBorders>
            <w:hideMark/>
          </w:tcPr>
          <w:p w:rsidR="004E757A" w:rsidRPr="005F1FAF" w:rsidRDefault="004E757A" w:rsidP="009E618A">
            <w:pPr>
              <w:jc w:val="both"/>
              <w:rPr>
                <w:sz w:val="24"/>
                <w:szCs w:val="24"/>
              </w:rPr>
            </w:pPr>
            <w:r w:rsidRPr="005F1FAF">
              <w:rPr>
                <w:sz w:val="24"/>
                <w:szCs w:val="24"/>
              </w:rPr>
              <w:lastRenderedPageBreak/>
              <w:t xml:space="preserve">7.Alte </w:t>
            </w:r>
            <w:proofErr w:type="spellStart"/>
            <w:r w:rsidRPr="005F1FAF">
              <w:rPr>
                <w:sz w:val="24"/>
                <w:szCs w:val="24"/>
              </w:rPr>
              <w:t>informaţii</w:t>
            </w:r>
            <w:proofErr w:type="spellEnd"/>
          </w:p>
        </w:tc>
        <w:tc>
          <w:tcPr>
            <w:tcW w:w="6819" w:type="dxa"/>
            <w:gridSpan w:val="6"/>
            <w:tcBorders>
              <w:top w:val="single" w:sz="4" w:space="0" w:color="auto"/>
              <w:left w:val="single" w:sz="4" w:space="0" w:color="auto"/>
              <w:bottom w:val="single" w:sz="4" w:space="0" w:color="auto"/>
              <w:right w:val="single" w:sz="4" w:space="0" w:color="auto"/>
            </w:tcBorders>
            <w:hideMark/>
          </w:tcPr>
          <w:p w:rsidR="004E757A" w:rsidRPr="005F1FAF" w:rsidRDefault="008E422F" w:rsidP="00386D66">
            <w:pPr>
              <w:pStyle w:val="BodyText"/>
              <w:jc w:val="both"/>
              <w:rPr>
                <w:sz w:val="24"/>
                <w:szCs w:val="24"/>
              </w:rPr>
            </w:pPr>
            <w:r w:rsidRPr="005F1FAF">
              <w:rPr>
                <w:sz w:val="24"/>
                <w:szCs w:val="24"/>
              </w:rPr>
              <w:t>Prin prezentul proiect de act normativ se propune suplimentarea sumei aprobate prin Hotărârea Guvernului nr. 499/2010</w:t>
            </w:r>
            <w:r w:rsidR="00CA1D2E" w:rsidRPr="005F1FAF">
              <w:rPr>
                <w:sz w:val="24"/>
                <w:szCs w:val="24"/>
              </w:rPr>
              <w:t>,</w:t>
            </w:r>
            <w:r w:rsidRPr="005F1FAF">
              <w:rPr>
                <w:sz w:val="24"/>
                <w:szCs w:val="24"/>
              </w:rPr>
              <w:t xml:space="preserve"> cu modificările și completările ulter</w:t>
            </w:r>
            <w:r w:rsidR="00871DFC" w:rsidRPr="005F1FAF">
              <w:rPr>
                <w:sz w:val="24"/>
                <w:szCs w:val="24"/>
              </w:rPr>
              <w:t xml:space="preserve">ioare, cu suma totală de 947,37 mii </w:t>
            </w:r>
            <w:r w:rsidRPr="005F1FAF">
              <w:rPr>
                <w:sz w:val="24"/>
                <w:szCs w:val="24"/>
              </w:rPr>
              <w:t xml:space="preserve">lei, care se alocă de </w:t>
            </w:r>
            <w:r w:rsidR="00CB62AB" w:rsidRPr="005F1FAF">
              <w:rPr>
                <w:sz w:val="24"/>
                <w:szCs w:val="24"/>
              </w:rPr>
              <w:t>b</w:t>
            </w:r>
            <w:r w:rsidRPr="005F1FAF">
              <w:rPr>
                <w:sz w:val="24"/>
                <w:szCs w:val="24"/>
              </w:rPr>
              <w:t xml:space="preserve">ugetul de stat, prin bugetul Ministerului Transporturilor și Infrastructurii , în conformitate cu Legea bugetului de stat </w:t>
            </w:r>
            <w:r w:rsidR="00CB62AB" w:rsidRPr="005F1FAF">
              <w:rPr>
                <w:rStyle w:val="tpa1"/>
                <w:bCs/>
                <w:sz w:val="24"/>
                <w:szCs w:val="24"/>
              </w:rPr>
              <w:t>pe anul 2021, nr. 15/2021</w:t>
            </w:r>
            <w:r w:rsidRPr="005F1FAF">
              <w:rPr>
                <w:sz w:val="24"/>
                <w:szCs w:val="24"/>
              </w:rPr>
              <w:t>, la capitolul 84.01 „Transporturi”, titlul 58 „Proiecte cu finanțare din fonduri externe nerambursabile aferen</w:t>
            </w:r>
            <w:r w:rsidR="00F64BC8" w:rsidRPr="005F1FAF">
              <w:rPr>
                <w:sz w:val="24"/>
                <w:szCs w:val="24"/>
              </w:rPr>
              <w:t>te cadrului financiar 2014-2020</w:t>
            </w:r>
            <w:r w:rsidRPr="005F1FAF">
              <w:rPr>
                <w:sz w:val="24"/>
                <w:szCs w:val="24"/>
              </w:rPr>
              <w:t xml:space="preserve">, </w:t>
            </w:r>
            <w:proofErr w:type="spellStart"/>
            <w:r w:rsidR="00F9149A" w:rsidRPr="005F1FAF">
              <w:rPr>
                <w:sz w:val="24"/>
                <w:szCs w:val="24"/>
                <w:lang w:val="en-US"/>
              </w:rPr>
              <w:t>articolul</w:t>
            </w:r>
            <w:proofErr w:type="spellEnd"/>
            <w:r w:rsidR="00F9149A" w:rsidRPr="005F1FAF">
              <w:rPr>
                <w:sz w:val="24"/>
                <w:szCs w:val="24"/>
              </w:rPr>
              <w:t xml:space="preserve"> </w:t>
            </w:r>
            <w:r w:rsidRPr="005F1FAF">
              <w:rPr>
                <w:sz w:val="24"/>
                <w:szCs w:val="24"/>
              </w:rPr>
              <w:t>58.03 „Progra</w:t>
            </w:r>
            <w:r w:rsidR="00386D66" w:rsidRPr="005F1FAF">
              <w:rPr>
                <w:sz w:val="24"/>
                <w:szCs w:val="24"/>
              </w:rPr>
              <w:t xml:space="preserve">me din Fondul de Coeziune - </w:t>
            </w:r>
            <w:r w:rsidRPr="005F1FAF">
              <w:rPr>
                <w:sz w:val="24"/>
                <w:szCs w:val="24"/>
              </w:rPr>
              <w:t>FC”</w:t>
            </w:r>
            <w:r w:rsidRPr="005F1FAF">
              <w:rPr>
                <w:sz w:val="24"/>
                <w:szCs w:val="24"/>
                <w:lang w:eastAsia="ar-SA"/>
              </w:rPr>
              <w:t>.</w:t>
            </w:r>
          </w:p>
        </w:tc>
      </w:tr>
    </w:tbl>
    <w:p w:rsidR="00EB1163" w:rsidRPr="005F1FAF" w:rsidRDefault="00EB1163" w:rsidP="004E757A">
      <w:pPr>
        <w:jc w:val="center"/>
        <w:rPr>
          <w:b/>
          <w:i/>
          <w:sz w:val="24"/>
          <w:szCs w:val="24"/>
        </w:rPr>
      </w:pPr>
    </w:p>
    <w:p w:rsidR="004E757A" w:rsidRPr="005F1FAF" w:rsidRDefault="004E757A" w:rsidP="004E757A">
      <w:pPr>
        <w:jc w:val="center"/>
        <w:rPr>
          <w:b/>
          <w:sz w:val="24"/>
          <w:szCs w:val="24"/>
        </w:rPr>
      </w:pPr>
      <w:proofErr w:type="spellStart"/>
      <w:r w:rsidRPr="005F1FAF">
        <w:rPr>
          <w:b/>
          <w:sz w:val="24"/>
          <w:szCs w:val="24"/>
        </w:rPr>
        <w:t>Secţiunea</w:t>
      </w:r>
      <w:proofErr w:type="spellEnd"/>
      <w:r w:rsidRPr="005F1FAF">
        <w:rPr>
          <w:b/>
          <w:sz w:val="24"/>
          <w:szCs w:val="24"/>
        </w:rPr>
        <w:t xml:space="preserve"> a 5-a</w:t>
      </w:r>
    </w:p>
    <w:p w:rsidR="004E757A" w:rsidRPr="005F1FAF" w:rsidRDefault="004E757A" w:rsidP="004E757A">
      <w:pPr>
        <w:ind w:left="1416" w:hanging="1516"/>
        <w:jc w:val="center"/>
        <w:rPr>
          <w:b/>
          <w:sz w:val="24"/>
          <w:szCs w:val="24"/>
        </w:rPr>
      </w:pPr>
      <w:r w:rsidRPr="005F1FAF">
        <w:rPr>
          <w:b/>
          <w:sz w:val="24"/>
          <w:szCs w:val="24"/>
        </w:rPr>
        <w:t xml:space="preserve">Efectele prezentului act  normativ asupra </w:t>
      </w:r>
      <w:proofErr w:type="spellStart"/>
      <w:r w:rsidRPr="005F1FAF">
        <w:rPr>
          <w:b/>
          <w:sz w:val="24"/>
          <w:szCs w:val="24"/>
        </w:rPr>
        <w:t>legislaţiei</w:t>
      </w:r>
      <w:proofErr w:type="spellEnd"/>
      <w:r w:rsidRPr="005F1FAF">
        <w:rPr>
          <w:b/>
          <w:sz w:val="24"/>
          <w:szCs w:val="24"/>
        </w:rPr>
        <w:t xml:space="preserve"> în vigoare</w:t>
      </w:r>
    </w:p>
    <w:p w:rsidR="00792FAE" w:rsidRPr="005F1FAF" w:rsidRDefault="00792FAE" w:rsidP="004E757A">
      <w:pPr>
        <w:ind w:left="1416" w:hanging="1516"/>
        <w:jc w:val="center"/>
        <w:rPr>
          <w:b/>
          <w:i/>
          <w:sz w:val="24"/>
          <w:szCs w:val="24"/>
        </w:rPr>
      </w:pPr>
    </w:p>
    <w:tbl>
      <w:tblPr>
        <w:tblW w:w="996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7"/>
        <w:gridCol w:w="5940"/>
      </w:tblGrid>
      <w:tr w:rsidR="003B511A" w:rsidRPr="005F1FAF" w:rsidTr="00792FAE">
        <w:tc>
          <w:tcPr>
            <w:tcW w:w="4027" w:type="dxa"/>
          </w:tcPr>
          <w:p w:rsidR="003B511A" w:rsidRPr="005F1FAF" w:rsidRDefault="003B511A" w:rsidP="009F0E79">
            <w:pPr>
              <w:jc w:val="both"/>
              <w:rPr>
                <w:sz w:val="24"/>
                <w:szCs w:val="24"/>
              </w:rPr>
            </w:pPr>
            <w:r w:rsidRPr="005F1FAF">
              <w:rPr>
                <w:sz w:val="24"/>
                <w:szCs w:val="24"/>
              </w:rPr>
              <w:t>1.Măsuri normative necesare pentru aplicarea prevederilor proiectului de act normativ:</w:t>
            </w:r>
          </w:p>
          <w:p w:rsidR="003B511A" w:rsidRPr="005F1FAF" w:rsidRDefault="003B511A" w:rsidP="009F0E79">
            <w:pPr>
              <w:rPr>
                <w:sz w:val="24"/>
                <w:szCs w:val="24"/>
              </w:rPr>
            </w:pPr>
            <w:r w:rsidRPr="005F1FAF">
              <w:rPr>
                <w:sz w:val="24"/>
                <w:szCs w:val="24"/>
              </w:rPr>
              <w:t xml:space="preserve">a) acte normative în vigoare ce vor fi modificate sau abrogate, ca urmare a </w:t>
            </w:r>
            <w:proofErr w:type="spellStart"/>
            <w:r w:rsidRPr="005F1FAF">
              <w:rPr>
                <w:sz w:val="24"/>
                <w:szCs w:val="24"/>
              </w:rPr>
              <w:t>intrarii</w:t>
            </w:r>
            <w:proofErr w:type="spellEnd"/>
            <w:r w:rsidRPr="005F1FAF">
              <w:rPr>
                <w:sz w:val="24"/>
                <w:szCs w:val="24"/>
              </w:rPr>
              <w:t xml:space="preserve"> în vigoare a proiectului de act normativ;</w:t>
            </w:r>
          </w:p>
          <w:p w:rsidR="003B511A" w:rsidRPr="005F1FAF" w:rsidRDefault="003B511A" w:rsidP="009F0E79">
            <w:pPr>
              <w:jc w:val="both"/>
              <w:rPr>
                <w:sz w:val="24"/>
                <w:szCs w:val="24"/>
              </w:rPr>
            </w:pPr>
            <w:r w:rsidRPr="005F1FAF">
              <w:rPr>
                <w:sz w:val="24"/>
                <w:szCs w:val="24"/>
              </w:rPr>
              <w:t xml:space="preserve">b) acte normative ce urmează a fi elaborate în vederea implementării noilor </w:t>
            </w:r>
            <w:proofErr w:type="spellStart"/>
            <w:r w:rsidRPr="005F1FAF">
              <w:rPr>
                <w:sz w:val="24"/>
                <w:szCs w:val="24"/>
              </w:rPr>
              <w:t>dispoziţii</w:t>
            </w:r>
            <w:proofErr w:type="spellEnd"/>
            <w:r w:rsidRPr="005F1FAF">
              <w:rPr>
                <w:sz w:val="24"/>
                <w:szCs w:val="24"/>
              </w:rPr>
              <w:t>.</w:t>
            </w:r>
          </w:p>
        </w:tc>
        <w:tc>
          <w:tcPr>
            <w:tcW w:w="5940" w:type="dxa"/>
          </w:tcPr>
          <w:p w:rsidR="003B511A" w:rsidRPr="005F1FAF" w:rsidRDefault="008973C7" w:rsidP="009F0E79">
            <w:pPr>
              <w:jc w:val="both"/>
              <w:rPr>
                <w:sz w:val="24"/>
                <w:szCs w:val="24"/>
              </w:rPr>
            </w:pPr>
            <w:r w:rsidRPr="005F1FAF">
              <w:rPr>
                <w:sz w:val="24"/>
              </w:rPr>
              <w:t>După finalizarea procedurilor de expropriere este necesar a se elabora un proiect de act normativ pentru înscrierea imobilelor obiect al exproprierii în inventarul centralizat al bunurilor din domeniul public al statului, aprobat prin Hotărârea Guvernului nr. 1705/2006 pentru aprobarea inventarului centralizat al bunurilor din domeniul public al statului.</w:t>
            </w:r>
          </w:p>
        </w:tc>
      </w:tr>
      <w:tr w:rsidR="003B511A" w:rsidRPr="005F1FAF" w:rsidTr="00792FAE">
        <w:tc>
          <w:tcPr>
            <w:tcW w:w="4027" w:type="dxa"/>
          </w:tcPr>
          <w:p w:rsidR="003B511A" w:rsidRPr="005F1FAF" w:rsidRDefault="003B511A" w:rsidP="009F0E79">
            <w:pPr>
              <w:jc w:val="both"/>
              <w:rPr>
                <w:sz w:val="24"/>
                <w:szCs w:val="24"/>
              </w:rPr>
            </w:pPr>
            <w:r w:rsidRPr="005F1FAF">
              <w:rPr>
                <w:sz w:val="24"/>
                <w:szCs w:val="24"/>
              </w:rPr>
              <w:t>1</w:t>
            </w:r>
            <w:r w:rsidRPr="005F1FAF">
              <w:rPr>
                <w:sz w:val="24"/>
                <w:szCs w:val="24"/>
                <w:vertAlign w:val="superscript"/>
              </w:rPr>
              <w:t>1</w:t>
            </w:r>
            <w:r w:rsidRPr="005F1FAF">
              <w:rPr>
                <w:sz w:val="24"/>
                <w:szCs w:val="24"/>
              </w:rPr>
              <w:t xml:space="preserve">. Compatibilitatea proiectului de act normativ cu </w:t>
            </w:r>
            <w:proofErr w:type="spellStart"/>
            <w:r w:rsidRPr="005F1FAF">
              <w:rPr>
                <w:sz w:val="24"/>
                <w:szCs w:val="24"/>
              </w:rPr>
              <w:t>legislaţia</w:t>
            </w:r>
            <w:proofErr w:type="spellEnd"/>
            <w:r w:rsidRPr="005F1FAF">
              <w:rPr>
                <w:sz w:val="24"/>
                <w:szCs w:val="24"/>
              </w:rPr>
              <w:t xml:space="preserve"> în domeniul </w:t>
            </w:r>
            <w:proofErr w:type="spellStart"/>
            <w:r w:rsidRPr="005F1FAF">
              <w:rPr>
                <w:sz w:val="24"/>
                <w:szCs w:val="24"/>
              </w:rPr>
              <w:t>achiziţiilor</w:t>
            </w:r>
            <w:proofErr w:type="spellEnd"/>
            <w:r w:rsidRPr="005F1FAF">
              <w:rPr>
                <w:sz w:val="24"/>
                <w:szCs w:val="24"/>
              </w:rPr>
              <w:t xml:space="preserve"> publice</w:t>
            </w:r>
          </w:p>
        </w:tc>
        <w:tc>
          <w:tcPr>
            <w:tcW w:w="5940" w:type="dxa"/>
          </w:tcPr>
          <w:p w:rsidR="008973C7" w:rsidRPr="005F1FAF" w:rsidRDefault="008973C7" w:rsidP="008973C7">
            <w:pPr>
              <w:pStyle w:val="Heading1"/>
              <w:ind w:firstLine="0"/>
              <w:jc w:val="both"/>
              <w:rPr>
                <w:rFonts w:ascii="Times New Roman" w:hAnsi="Times New Roman"/>
                <w:b w:val="0"/>
                <w:bCs/>
                <w:sz w:val="24"/>
                <w:szCs w:val="24"/>
                <w:lang w:val="ro-RO"/>
              </w:rPr>
            </w:pPr>
            <w:r w:rsidRPr="005F1FAF">
              <w:rPr>
                <w:rFonts w:ascii="Times New Roman" w:hAnsi="Times New Roman"/>
                <w:b w:val="0"/>
                <w:bCs/>
                <w:sz w:val="24"/>
                <w:szCs w:val="24"/>
                <w:lang w:val="ro-RO"/>
              </w:rPr>
              <w:t>Proiectul de hotărâre a Guvernului nu se referă la acest domeniu.</w:t>
            </w:r>
          </w:p>
          <w:p w:rsidR="003B511A" w:rsidRPr="005F1FAF" w:rsidRDefault="003B511A" w:rsidP="00F32EC6">
            <w:pPr>
              <w:pStyle w:val="Heading1"/>
              <w:ind w:firstLine="0"/>
              <w:jc w:val="both"/>
              <w:rPr>
                <w:rFonts w:ascii="Times New Roman" w:hAnsi="Times New Roman"/>
                <w:b w:val="0"/>
                <w:sz w:val="24"/>
                <w:szCs w:val="24"/>
              </w:rPr>
            </w:pPr>
          </w:p>
        </w:tc>
      </w:tr>
      <w:tr w:rsidR="003B511A" w:rsidRPr="005F1FAF" w:rsidTr="00792FAE">
        <w:tc>
          <w:tcPr>
            <w:tcW w:w="4027" w:type="dxa"/>
          </w:tcPr>
          <w:p w:rsidR="003B511A" w:rsidRPr="005F1FAF" w:rsidRDefault="003B511A" w:rsidP="009F0E79">
            <w:pPr>
              <w:jc w:val="both"/>
              <w:rPr>
                <w:sz w:val="24"/>
                <w:szCs w:val="24"/>
              </w:rPr>
            </w:pPr>
            <w:r w:rsidRPr="005F1FAF">
              <w:rPr>
                <w:sz w:val="24"/>
                <w:szCs w:val="24"/>
              </w:rPr>
              <w:t xml:space="preserve">2.Conformitatea proiectului de act normativ cu </w:t>
            </w:r>
            <w:proofErr w:type="spellStart"/>
            <w:r w:rsidRPr="005F1FAF">
              <w:rPr>
                <w:sz w:val="24"/>
                <w:szCs w:val="24"/>
              </w:rPr>
              <w:t>legislatia</w:t>
            </w:r>
            <w:proofErr w:type="spellEnd"/>
            <w:r w:rsidRPr="005F1FAF">
              <w:rPr>
                <w:sz w:val="24"/>
                <w:szCs w:val="24"/>
              </w:rPr>
              <w:t xml:space="preserve"> comunitara in cazul proiectelor ce transpun prevederi comunitare.</w:t>
            </w:r>
          </w:p>
        </w:tc>
        <w:tc>
          <w:tcPr>
            <w:tcW w:w="5940" w:type="dxa"/>
          </w:tcPr>
          <w:p w:rsidR="003B511A" w:rsidRPr="005F1FAF" w:rsidRDefault="003B511A" w:rsidP="00F32EC6">
            <w:pPr>
              <w:pStyle w:val="Heading1"/>
              <w:ind w:firstLine="0"/>
              <w:jc w:val="both"/>
              <w:rPr>
                <w:rFonts w:ascii="Times New Roman" w:hAnsi="Times New Roman"/>
                <w:b w:val="0"/>
                <w:sz w:val="24"/>
                <w:szCs w:val="24"/>
              </w:rPr>
            </w:pPr>
            <w:proofErr w:type="spellStart"/>
            <w:r w:rsidRPr="005F1FAF">
              <w:rPr>
                <w:rFonts w:ascii="Times New Roman" w:hAnsi="Times New Roman"/>
                <w:b w:val="0"/>
                <w:sz w:val="24"/>
                <w:szCs w:val="24"/>
              </w:rPr>
              <w:t>Proiectul</w:t>
            </w:r>
            <w:proofErr w:type="spellEnd"/>
            <w:r w:rsidRPr="005F1FAF">
              <w:rPr>
                <w:rFonts w:ascii="Times New Roman" w:hAnsi="Times New Roman"/>
                <w:b w:val="0"/>
                <w:sz w:val="24"/>
                <w:szCs w:val="24"/>
              </w:rPr>
              <w:t xml:space="preserve"> de </w:t>
            </w:r>
            <w:proofErr w:type="spellStart"/>
            <w:r w:rsidRPr="005F1FAF">
              <w:rPr>
                <w:rFonts w:ascii="Times New Roman" w:hAnsi="Times New Roman"/>
                <w:b w:val="0"/>
                <w:sz w:val="24"/>
                <w:szCs w:val="24"/>
              </w:rPr>
              <w:t>hotărâre</w:t>
            </w:r>
            <w:proofErr w:type="spellEnd"/>
            <w:r w:rsidRPr="005F1FAF">
              <w:rPr>
                <w:rFonts w:ascii="Times New Roman" w:hAnsi="Times New Roman"/>
                <w:b w:val="0"/>
                <w:sz w:val="24"/>
                <w:szCs w:val="24"/>
              </w:rPr>
              <w:t xml:space="preserve"> </w:t>
            </w:r>
            <w:r w:rsidRPr="005F1FAF">
              <w:rPr>
                <w:rFonts w:ascii="Times New Roman" w:hAnsi="Times New Roman"/>
                <w:b w:val="0"/>
                <w:bCs/>
                <w:sz w:val="24"/>
                <w:szCs w:val="24"/>
              </w:rPr>
              <w:t xml:space="preserve">a </w:t>
            </w:r>
            <w:proofErr w:type="spellStart"/>
            <w:r w:rsidRPr="005F1FAF">
              <w:rPr>
                <w:rFonts w:ascii="Times New Roman" w:hAnsi="Times New Roman"/>
                <w:b w:val="0"/>
                <w:bCs/>
                <w:sz w:val="24"/>
                <w:szCs w:val="24"/>
              </w:rPr>
              <w:t>Guvernului</w:t>
            </w:r>
            <w:proofErr w:type="spellEnd"/>
            <w:r w:rsidRPr="005F1FAF">
              <w:rPr>
                <w:rFonts w:ascii="Times New Roman" w:hAnsi="Times New Roman"/>
                <w:b w:val="0"/>
                <w:sz w:val="24"/>
                <w:szCs w:val="24"/>
              </w:rPr>
              <w:t xml:space="preserve"> nu se </w:t>
            </w:r>
            <w:proofErr w:type="spellStart"/>
            <w:r w:rsidRPr="005F1FAF">
              <w:rPr>
                <w:rFonts w:ascii="Times New Roman" w:hAnsi="Times New Roman"/>
                <w:b w:val="0"/>
                <w:sz w:val="24"/>
                <w:szCs w:val="24"/>
              </w:rPr>
              <w:t>referă</w:t>
            </w:r>
            <w:proofErr w:type="spellEnd"/>
            <w:r w:rsidRPr="005F1FAF">
              <w:rPr>
                <w:rFonts w:ascii="Times New Roman" w:hAnsi="Times New Roman"/>
                <w:b w:val="0"/>
                <w:sz w:val="24"/>
                <w:szCs w:val="24"/>
              </w:rPr>
              <w:t xml:space="preserve"> la </w:t>
            </w:r>
            <w:proofErr w:type="spellStart"/>
            <w:r w:rsidRPr="005F1FAF">
              <w:rPr>
                <w:rFonts w:ascii="Times New Roman" w:hAnsi="Times New Roman"/>
                <w:b w:val="0"/>
                <w:sz w:val="24"/>
                <w:szCs w:val="24"/>
              </w:rPr>
              <w:t>acest</w:t>
            </w:r>
            <w:proofErr w:type="spellEnd"/>
            <w:r w:rsidRPr="005F1FAF">
              <w:rPr>
                <w:rFonts w:ascii="Times New Roman" w:hAnsi="Times New Roman"/>
                <w:b w:val="0"/>
                <w:sz w:val="24"/>
                <w:szCs w:val="24"/>
              </w:rPr>
              <w:t xml:space="preserve"> </w:t>
            </w:r>
            <w:proofErr w:type="spellStart"/>
            <w:r w:rsidRPr="005F1FAF">
              <w:rPr>
                <w:rFonts w:ascii="Times New Roman" w:hAnsi="Times New Roman"/>
                <w:b w:val="0"/>
                <w:sz w:val="24"/>
                <w:szCs w:val="24"/>
              </w:rPr>
              <w:t>domeniu</w:t>
            </w:r>
            <w:proofErr w:type="spellEnd"/>
            <w:r w:rsidRPr="005F1FAF">
              <w:rPr>
                <w:rFonts w:ascii="Times New Roman" w:hAnsi="Times New Roman"/>
                <w:b w:val="0"/>
                <w:sz w:val="24"/>
                <w:szCs w:val="24"/>
              </w:rPr>
              <w:t>.</w:t>
            </w:r>
          </w:p>
        </w:tc>
      </w:tr>
      <w:tr w:rsidR="003B511A" w:rsidRPr="005F1FAF" w:rsidTr="00792FAE">
        <w:tc>
          <w:tcPr>
            <w:tcW w:w="4027" w:type="dxa"/>
          </w:tcPr>
          <w:p w:rsidR="003B511A" w:rsidRPr="005F1FAF" w:rsidRDefault="003B511A" w:rsidP="009F0E79">
            <w:pPr>
              <w:jc w:val="both"/>
              <w:rPr>
                <w:sz w:val="24"/>
                <w:szCs w:val="24"/>
              </w:rPr>
            </w:pPr>
            <w:r w:rsidRPr="005F1FAF">
              <w:rPr>
                <w:sz w:val="24"/>
                <w:szCs w:val="24"/>
              </w:rPr>
              <w:t xml:space="preserve">3.Masuri normative necesare </w:t>
            </w:r>
            <w:proofErr w:type="spellStart"/>
            <w:r w:rsidRPr="005F1FAF">
              <w:rPr>
                <w:sz w:val="24"/>
                <w:szCs w:val="24"/>
              </w:rPr>
              <w:t>aplicarii</w:t>
            </w:r>
            <w:proofErr w:type="spellEnd"/>
            <w:r w:rsidRPr="005F1FAF">
              <w:rPr>
                <w:sz w:val="24"/>
                <w:szCs w:val="24"/>
              </w:rPr>
              <w:t xml:space="preserve"> directe a actelor normative comunitare, </w:t>
            </w:r>
          </w:p>
        </w:tc>
        <w:tc>
          <w:tcPr>
            <w:tcW w:w="5940" w:type="dxa"/>
          </w:tcPr>
          <w:p w:rsidR="003B511A" w:rsidRPr="005F1FAF" w:rsidRDefault="003B511A" w:rsidP="00F32EC6">
            <w:pPr>
              <w:pStyle w:val="Heading1"/>
              <w:ind w:firstLine="0"/>
              <w:jc w:val="both"/>
              <w:rPr>
                <w:rFonts w:ascii="Times New Roman" w:hAnsi="Times New Roman"/>
                <w:b w:val="0"/>
                <w:sz w:val="24"/>
                <w:szCs w:val="24"/>
              </w:rPr>
            </w:pPr>
            <w:proofErr w:type="spellStart"/>
            <w:r w:rsidRPr="005F1FAF">
              <w:rPr>
                <w:rFonts w:ascii="Times New Roman" w:hAnsi="Times New Roman"/>
                <w:b w:val="0"/>
                <w:sz w:val="24"/>
                <w:szCs w:val="24"/>
              </w:rPr>
              <w:t>Proiectul</w:t>
            </w:r>
            <w:proofErr w:type="spellEnd"/>
            <w:r w:rsidRPr="005F1FAF">
              <w:rPr>
                <w:rFonts w:ascii="Times New Roman" w:hAnsi="Times New Roman"/>
                <w:b w:val="0"/>
                <w:sz w:val="24"/>
                <w:szCs w:val="24"/>
              </w:rPr>
              <w:t xml:space="preserve"> de </w:t>
            </w:r>
            <w:proofErr w:type="spellStart"/>
            <w:r w:rsidRPr="005F1FAF">
              <w:rPr>
                <w:rFonts w:ascii="Times New Roman" w:hAnsi="Times New Roman"/>
                <w:b w:val="0"/>
                <w:sz w:val="24"/>
                <w:szCs w:val="24"/>
              </w:rPr>
              <w:t>hotărâre</w:t>
            </w:r>
            <w:proofErr w:type="spellEnd"/>
            <w:r w:rsidRPr="005F1FAF">
              <w:rPr>
                <w:rFonts w:ascii="Times New Roman" w:hAnsi="Times New Roman"/>
                <w:b w:val="0"/>
                <w:sz w:val="24"/>
                <w:szCs w:val="24"/>
              </w:rPr>
              <w:t xml:space="preserve"> a </w:t>
            </w:r>
            <w:proofErr w:type="spellStart"/>
            <w:r w:rsidRPr="005F1FAF">
              <w:rPr>
                <w:rFonts w:ascii="Times New Roman" w:hAnsi="Times New Roman"/>
                <w:b w:val="0"/>
                <w:sz w:val="24"/>
                <w:szCs w:val="24"/>
              </w:rPr>
              <w:t>Guvernului</w:t>
            </w:r>
            <w:proofErr w:type="spellEnd"/>
            <w:r w:rsidRPr="005F1FAF">
              <w:rPr>
                <w:rFonts w:ascii="Times New Roman" w:hAnsi="Times New Roman"/>
                <w:b w:val="0"/>
                <w:sz w:val="24"/>
                <w:szCs w:val="24"/>
              </w:rPr>
              <w:t xml:space="preserve"> nu se </w:t>
            </w:r>
            <w:proofErr w:type="spellStart"/>
            <w:r w:rsidRPr="005F1FAF">
              <w:rPr>
                <w:rFonts w:ascii="Times New Roman" w:hAnsi="Times New Roman"/>
                <w:b w:val="0"/>
                <w:sz w:val="24"/>
                <w:szCs w:val="24"/>
              </w:rPr>
              <w:t>referă</w:t>
            </w:r>
            <w:proofErr w:type="spellEnd"/>
            <w:r w:rsidRPr="005F1FAF">
              <w:rPr>
                <w:rFonts w:ascii="Times New Roman" w:hAnsi="Times New Roman"/>
                <w:b w:val="0"/>
                <w:sz w:val="24"/>
                <w:szCs w:val="24"/>
              </w:rPr>
              <w:t xml:space="preserve"> la </w:t>
            </w:r>
            <w:proofErr w:type="spellStart"/>
            <w:r w:rsidRPr="005F1FAF">
              <w:rPr>
                <w:rFonts w:ascii="Times New Roman" w:hAnsi="Times New Roman"/>
                <w:b w:val="0"/>
                <w:sz w:val="24"/>
                <w:szCs w:val="24"/>
              </w:rPr>
              <w:t>acest</w:t>
            </w:r>
            <w:proofErr w:type="spellEnd"/>
            <w:r w:rsidRPr="005F1FAF">
              <w:rPr>
                <w:rFonts w:ascii="Times New Roman" w:hAnsi="Times New Roman"/>
                <w:b w:val="0"/>
                <w:sz w:val="24"/>
                <w:szCs w:val="24"/>
              </w:rPr>
              <w:t xml:space="preserve"> </w:t>
            </w:r>
            <w:proofErr w:type="spellStart"/>
            <w:r w:rsidRPr="005F1FAF">
              <w:rPr>
                <w:rFonts w:ascii="Times New Roman" w:hAnsi="Times New Roman"/>
                <w:b w:val="0"/>
                <w:sz w:val="24"/>
                <w:szCs w:val="24"/>
              </w:rPr>
              <w:t>domeniu</w:t>
            </w:r>
            <w:proofErr w:type="spellEnd"/>
            <w:r w:rsidRPr="005F1FAF">
              <w:rPr>
                <w:rFonts w:ascii="Times New Roman" w:hAnsi="Times New Roman"/>
                <w:b w:val="0"/>
                <w:sz w:val="24"/>
                <w:szCs w:val="24"/>
              </w:rPr>
              <w:t>.</w:t>
            </w:r>
          </w:p>
        </w:tc>
      </w:tr>
      <w:tr w:rsidR="003B511A" w:rsidRPr="005F1FAF" w:rsidTr="00792FAE">
        <w:tc>
          <w:tcPr>
            <w:tcW w:w="4027" w:type="dxa"/>
          </w:tcPr>
          <w:p w:rsidR="003B511A" w:rsidRPr="005F1FAF" w:rsidRDefault="003B511A" w:rsidP="009F0E79">
            <w:pPr>
              <w:jc w:val="both"/>
              <w:rPr>
                <w:sz w:val="24"/>
                <w:szCs w:val="24"/>
              </w:rPr>
            </w:pPr>
            <w:r w:rsidRPr="005F1FAF">
              <w:rPr>
                <w:sz w:val="24"/>
                <w:szCs w:val="24"/>
              </w:rPr>
              <w:t xml:space="preserve">4.Hotarari ale </w:t>
            </w:r>
            <w:proofErr w:type="spellStart"/>
            <w:r w:rsidRPr="005F1FAF">
              <w:rPr>
                <w:sz w:val="24"/>
                <w:szCs w:val="24"/>
              </w:rPr>
              <w:t>Curtii</w:t>
            </w:r>
            <w:proofErr w:type="spellEnd"/>
            <w:r w:rsidRPr="005F1FAF">
              <w:rPr>
                <w:sz w:val="24"/>
                <w:szCs w:val="24"/>
              </w:rPr>
              <w:t xml:space="preserve"> de </w:t>
            </w:r>
            <w:proofErr w:type="spellStart"/>
            <w:r w:rsidRPr="005F1FAF">
              <w:rPr>
                <w:sz w:val="24"/>
                <w:szCs w:val="24"/>
              </w:rPr>
              <w:t>Justitie</w:t>
            </w:r>
            <w:proofErr w:type="spellEnd"/>
            <w:r w:rsidRPr="005F1FAF">
              <w:rPr>
                <w:sz w:val="24"/>
                <w:szCs w:val="24"/>
              </w:rPr>
              <w:t xml:space="preserve"> a Uniunii Europene</w:t>
            </w:r>
            <w:r w:rsidRPr="005F1FAF">
              <w:rPr>
                <w:rStyle w:val="tpa1"/>
                <w:sz w:val="24"/>
                <w:szCs w:val="24"/>
              </w:rPr>
              <w:t xml:space="preserve"> </w:t>
            </w:r>
          </w:p>
        </w:tc>
        <w:tc>
          <w:tcPr>
            <w:tcW w:w="5940" w:type="dxa"/>
          </w:tcPr>
          <w:p w:rsidR="003B511A" w:rsidRPr="005F1FAF" w:rsidRDefault="003B511A" w:rsidP="00F32EC6">
            <w:pPr>
              <w:pStyle w:val="Heading1"/>
              <w:ind w:firstLine="0"/>
              <w:jc w:val="both"/>
              <w:rPr>
                <w:rFonts w:ascii="Times New Roman" w:hAnsi="Times New Roman"/>
                <w:b w:val="0"/>
                <w:sz w:val="24"/>
                <w:szCs w:val="24"/>
              </w:rPr>
            </w:pPr>
            <w:proofErr w:type="spellStart"/>
            <w:r w:rsidRPr="005F1FAF">
              <w:rPr>
                <w:rFonts w:ascii="Times New Roman" w:hAnsi="Times New Roman"/>
                <w:b w:val="0"/>
                <w:sz w:val="24"/>
                <w:szCs w:val="24"/>
              </w:rPr>
              <w:t>Proiectul</w:t>
            </w:r>
            <w:proofErr w:type="spellEnd"/>
            <w:r w:rsidRPr="005F1FAF">
              <w:rPr>
                <w:rFonts w:ascii="Times New Roman" w:hAnsi="Times New Roman"/>
                <w:b w:val="0"/>
                <w:sz w:val="24"/>
                <w:szCs w:val="24"/>
              </w:rPr>
              <w:t xml:space="preserve"> de </w:t>
            </w:r>
            <w:proofErr w:type="spellStart"/>
            <w:r w:rsidRPr="005F1FAF">
              <w:rPr>
                <w:rFonts w:ascii="Times New Roman" w:hAnsi="Times New Roman"/>
                <w:b w:val="0"/>
                <w:sz w:val="24"/>
                <w:szCs w:val="24"/>
              </w:rPr>
              <w:t>hotărâre</w:t>
            </w:r>
            <w:proofErr w:type="spellEnd"/>
            <w:r w:rsidRPr="005F1FAF">
              <w:rPr>
                <w:rFonts w:ascii="Times New Roman" w:hAnsi="Times New Roman"/>
                <w:b w:val="0"/>
                <w:sz w:val="24"/>
                <w:szCs w:val="24"/>
              </w:rPr>
              <w:t xml:space="preserve"> a </w:t>
            </w:r>
            <w:proofErr w:type="spellStart"/>
            <w:r w:rsidRPr="005F1FAF">
              <w:rPr>
                <w:rFonts w:ascii="Times New Roman" w:hAnsi="Times New Roman"/>
                <w:b w:val="0"/>
                <w:sz w:val="24"/>
                <w:szCs w:val="24"/>
              </w:rPr>
              <w:t>Guvernului</w:t>
            </w:r>
            <w:proofErr w:type="spellEnd"/>
            <w:r w:rsidRPr="005F1FAF">
              <w:rPr>
                <w:rFonts w:ascii="Times New Roman" w:hAnsi="Times New Roman"/>
                <w:b w:val="0"/>
                <w:sz w:val="24"/>
                <w:szCs w:val="24"/>
              </w:rPr>
              <w:t xml:space="preserve"> nu se </w:t>
            </w:r>
            <w:proofErr w:type="spellStart"/>
            <w:r w:rsidRPr="005F1FAF">
              <w:rPr>
                <w:rFonts w:ascii="Times New Roman" w:hAnsi="Times New Roman"/>
                <w:b w:val="0"/>
                <w:sz w:val="24"/>
                <w:szCs w:val="24"/>
              </w:rPr>
              <w:t>referă</w:t>
            </w:r>
            <w:proofErr w:type="spellEnd"/>
            <w:r w:rsidRPr="005F1FAF">
              <w:rPr>
                <w:rFonts w:ascii="Times New Roman" w:hAnsi="Times New Roman"/>
                <w:b w:val="0"/>
                <w:sz w:val="24"/>
                <w:szCs w:val="24"/>
              </w:rPr>
              <w:t xml:space="preserve"> la </w:t>
            </w:r>
            <w:proofErr w:type="spellStart"/>
            <w:r w:rsidRPr="005F1FAF">
              <w:rPr>
                <w:rFonts w:ascii="Times New Roman" w:hAnsi="Times New Roman"/>
                <w:b w:val="0"/>
                <w:sz w:val="24"/>
                <w:szCs w:val="24"/>
              </w:rPr>
              <w:t>acest</w:t>
            </w:r>
            <w:proofErr w:type="spellEnd"/>
            <w:r w:rsidRPr="005F1FAF">
              <w:rPr>
                <w:rFonts w:ascii="Times New Roman" w:hAnsi="Times New Roman"/>
                <w:b w:val="0"/>
                <w:sz w:val="24"/>
                <w:szCs w:val="24"/>
              </w:rPr>
              <w:t xml:space="preserve"> </w:t>
            </w:r>
            <w:proofErr w:type="spellStart"/>
            <w:r w:rsidRPr="005F1FAF">
              <w:rPr>
                <w:rFonts w:ascii="Times New Roman" w:hAnsi="Times New Roman"/>
                <w:b w:val="0"/>
                <w:sz w:val="24"/>
                <w:szCs w:val="24"/>
              </w:rPr>
              <w:t>domeniu</w:t>
            </w:r>
            <w:proofErr w:type="spellEnd"/>
            <w:r w:rsidRPr="005F1FAF">
              <w:rPr>
                <w:rFonts w:ascii="Times New Roman" w:hAnsi="Times New Roman"/>
                <w:b w:val="0"/>
                <w:sz w:val="24"/>
                <w:szCs w:val="24"/>
              </w:rPr>
              <w:t>.</w:t>
            </w:r>
          </w:p>
        </w:tc>
      </w:tr>
      <w:tr w:rsidR="003B511A" w:rsidRPr="005F1FAF" w:rsidTr="00792FAE">
        <w:tc>
          <w:tcPr>
            <w:tcW w:w="4027" w:type="dxa"/>
          </w:tcPr>
          <w:p w:rsidR="003B511A" w:rsidRPr="005F1FAF" w:rsidRDefault="003B511A" w:rsidP="009F0E79">
            <w:pPr>
              <w:jc w:val="both"/>
              <w:rPr>
                <w:sz w:val="24"/>
                <w:szCs w:val="24"/>
              </w:rPr>
            </w:pPr>
            <w:r w:rsidRPr="005F1FAF">
              <w:rPr>
                <w:sz w:val="24"/>
                <w:szCs w:val="24"/>
              </w:rPr>
              <w:t xml:space="preserve">5.Alte acte normative si/sau documente </w:t>
            </w:r>
            <w:proofErr w:type="spellStart"/>
            <w:r w:rsidRPr="005F1FAF">
              <w:rPr>
                <w:sz w:val="24"/>
                <w:szCs w:val="24"/>
              </w:rPr>
              <w:t>internaţionale</w:t>
            </w:r>
            <w:proofErr w:type="spellEnd"/>
            <w:r w:rsidRPr="005F1FAF">
              <w:rPr>
                <w:sz w:val="24"/>
                <w:szCs w:val="24"/>
              </w:rPr>
              <w:t xml:space="preserve"> din care decurg angajamente, </w:t>
            </w:r>
          </w:p>
        </w:tc>
        <w:tc>
          <w:tcPr>
            <w:tcW w:w="5940" w:type="dxa"/>
          </w:tcPr>
          <w:p w:rsidR="003B511A" w:rsidRPr="005F1FAF" w:rsidRDefault="003B511A" w:rsidP="00F32EC6">
            <w:pPr>
              <w:pStyle w:val="Heading1"/>
              <w:ind w:firstLine="0"/>
              <w:jc w:val="both"/>
              <w:rPr>
                <w:rFonts w:ascii="Times New Roman" w:hAnsi="Times New Roman"/>
                <w:b w:val="0"/>
                <w:sz w:val="24"/>
                <w:szCs w:val="24"/>
              </w:rPr>
            </w:pPr>
            <w:proofErr w:type="spellStart"/>
            <w:r w:rsidRPr="005F1FAF">
              <w:rPr>
                <w:rFonts w:ascii="Times New Roman" w:hAnsi="Times New Roman"/>
                <w:b w:val="0"/>
                <w:sz w:val="24"/>
                <w:szCs w:val="24"/>
              </w:rPr>
              <w:t>Proiectul</w:t>
            </w:r>
            <w:proofErr w:type="spellEnd"/>
            <w:r w:rsidRPr="005F1FAF">
              <w:rPr>
                <w:rFonts w:ascii="Times New Roman" w:hAnsi="Times New Roman"/>
                <w:b w:val="0"/>
                <w:sz w:val="24"/>
                <w:szCs w:val="24"/>
              </w:rPr>
              <w:t xml:space="preserve"> de </w:t>
            </w:r>
            <w:proofErr w:type="spellStart"/>
            <w:r w:rsidRPr="005F1FAF">
              <w:rPr>
                <w:rFonts w:ascii="Times New Roman" w:hAnsi="Times New Roman"/>
                <w:b w:val="0"/>
                <w:sz w:val="24"/>
                <w:szCs w:val="24"/>
              </w:rPr>
              <w:t>hotărâre</w:t>
            </w:r>
            <w:proofErr w:type="spellEnd"/>
            <w:r w:rsidRPr="005F1FAF">
              <w:rPr>
                <w:rFonts w:ascii="Times New Roman" w:hAnsi="Times New Roman"/>
                <w:b w:val="0"/>
                <w:sz w:val="24"/>
                <w:szCs w:val="24"/>
              </w:rPr>
              <w:t xml:space="preserve"> </w:t>
            </w:r>
            <w:r w:rsidRPr="005F1FAF">
              <w:rPr>
                <w:rFonts w:ascii="Times New Roman" w:hAnsi="Times New Roman"/>
                <w:b w:val="0"/>
                <w:bCs/>
                <w:sz w:val="24"/>
                <w:szCs w:val="24"/>
              </w:rPr>
              <w:t xml:space="preserve">a </w:t>
            </w:r>
            <w:proofErr w:type="spellStart"/>
            <w:r w:rsidRPr="005F1FAF">
              <w:rPr>
                <w:rFonts w:ascii="Times New Roman" w:hAnsi="Times New Roman"/>
                <w:b w:val="0"/>
                <w:bCs/>
                <w:sz w:val="24"/>
                <w:szCs w:val="24"/>
              </w:rPr>
              <w:t>Guvernului</w:t>
            </w:r>
            <w:proofErr w:type="spellEnd"/>
            <w:r w:rsidRPr="005F1FAF">
              <w:rPr>
                <w:rFonts w:ascii="Times New Roman" w:hAnsi="Times New Roman"/>
                <w:b w:val="0"/>
                <w:sz w:val="24"/>
                <w:szCs w:val="24"/>
              </w:rPr>
              <w:t xml:space="preserve"> nu se </w:t>
            </w:r>
            <w:proofErr w:type="spellStart"/>
            <w:r w:rsidRPr="005F1FAF">
              <w:rPr>
                <w:rFonts w:ascii="Times New Roman" w:hAnsi="Times New Roman"/>
                <w:b w:val="0"/>
                <w:sz w:val="24"/>
                <w:szCs w:val="24"/>
              </w:rPr>
              <w:t>referă</w:t>
            </w:r>
            <w:proofErr w:type="spellEnd"/>
            <w:r w:rsidRPr="005F1FAF">
              <w:rPr>
                <w:rFonts w:ascii="Times New Roman" w:hAnsi="Times New Roman"/>
                <w:b w:val="0"/>
                <w:sz w:val="24"/>
                <w:szCs w:val="24"/>
              </w:rPr>
              <w:t xml:space="preserve"> la </w:t>
            </w:r>
            <w:proofErr w:type="spellStart"/>
            <w:r w:rsidRPr="005F1FAF">
              <w:rPr>
                <w:rFonts w:ascii="Times New Roman" w:hAnsi="Times New Roman"/>
                <w:b w:val="0"/>
                <w:sz w:val="24"/>
                <w:szCs w:val="24"/>
              </w:rPr>
              <w:t>acest</w:t>
            </w:r>
            <w:proofErr w:type="spellEnd"/>
            <w:r w:rsidRPr="005F1FAF">
              <w:rPr>
                <w:rFonts w:ascii="Times New Roman" w:hAnsi="Times New Roman"/>
                <w:b w:val="0"/>
                <w:sz w:val="24"/>
                <w:szCs w:val="24"/>
              </w:rPr>
              <w:t xml:space="preserve"> </w:t>
            </w:r>
            <w:proofErr w:type="spellStart"/>
            <w:r w:rsidRPr="005F1FAF">
              <w:rPr>
                <w:rFonts w:ascii="Times New Roman" w:hAnsi="Times New Roman"/>
                <w:b w:val="0"/>
                <w:sz w:val="24"/>
                <w:szCs w:val="24"/>
              </w:rPr>
              <w:t>domeniu</w:t>
            </w:r>
            <w:proofErr w:type="spellEnd"/>
            <w:r w:rsidRPr="005F1FAF">
              <w:rPr>
                <w:rFonts w:ascii="Times New Roman" w:hAnsi="Times New Roman"/>
                <w:b w:val="0"/>
                <w:sz w:val="24"/>
                <w:szCs w:val="24"/>
              </w:rPr>
              <w:t>.</w:t>
            </w:r>
          </w:p>
        </w:tc>
      </w:tr>
      <w:tr w:rsidR="003B511A" w:rsidRPr="005F1FAF" w:rsidTr="00792FAE">
        <w:tc>
          <w:tcPr>
            <w:tcW w:w="4027" w:type="dxa"/>
          </w:tcPr>
          <w:p w:rsidR="003B511A" w:rsidRPr="005F1FAF" w:rsidRDefault="003B511A" w:rsidP="009F0E79">
            <w:pPr>
              <w:jc w:val="both"/>
              <w:rPr>
                <w:sz w:val="24"/>
                <w:szCs w:val="24"/>
              </w:rPr>
            </w:pPr>
            <w:r w:rsidRPr="005F1FAF">
              <w:rPr>
                <w:sz w:val="24"/>
                <w:szCs w:val="24"/>
              </w:rPr>
              <w:t xml:space="preserve">6. Alte </w:t>
            </w:r>
            <w:proofErr w:type="spellStart"/>
            <w:r w:rsidRPr="005F1FAF">
              <w:rPr>
                <w:sz w:val="24"/>
                <w:szCs w:val="24"/>
              </w:rPr>
              <w:t>informaţii</w:t>
            </w:r>
            <w:proofErr w:type="spellEnd"/>
          </w:p>
        </w:tc>
        <w:tc>
          <w:tcPr>
            <w:tcW w:w="5940" w:type="dxa"/>
          </w:tcPr>
          <w:p w:rsidR="003B511A" w:rsidRPr="005F1FAF" w:rsidRDefault="003B511A" w:rsidP="009F0E79">
            <w:pPr>
              <w:pStyle w:val="StyleNORMALArialFirstline0cm"/>
              <w:spacing w:before="0" w:after="0"/>
              <w:rPr>
                <w:rFonts w:ascii="Times New Roman" w:hAnsi="Times New Roman"/>
                <w:lang w:val="ro-RO"/>
              </w:rPr>
            </w:pPr>
            <w:r w:rsidRPr="005F1FAF">
              <w:rPr>
                <w:rFonts w:ascii="Times New Roman" w:hAnsi="Times New Roman"/>
                <w:lang w:val="ro-RO"/>
              </w:rPr>
              <w:t>Nu au fost identificate.</w:t>
            </w:r>
          </w:p>
        </w:tc>
      </w:tr>
    </w:tbl>
    <w:p w:rsidR="00FB3E1B" w:rsidRPr="005F1FAF" w:rsidRDefault="00FB3E1B" w:rsidP="004E757A">
      <w:pPr>
        <w:jc w:val="center"/>
        <w:rPr>
          <w:b/>
          <w:sz w:val="24"/>
          <w:szCs w:val="24"/>
        </w:rPr>
      </w:pPr>
    </w:p>
    <w:p w:rsidR="004E757A" w:rsidRPr="005F1FAF" w:rsidRDefault="004E757A" w:rsidP="004E757A">
      <w:pPr>
        <w:jc w:val="center"/>
        <w:rPr>
          <w:b/>
          <w:sz w:val="24"/>
          <w:szCs w:val="24"/>
        </w:rPr>
      </w:pPr>
      <w:proofErr w:type="spellStart"/>
      <w:r w:rsidRPr="005F1FAF">
        <w:rPr>
          <w:b/>
          <w:sz w:val="24"/>
          <w:szCs w:val="24"/>
        </w:rPr>
        <w:t>Secţiunea</w:t>
      </w:r>
      <w:proofErr w:type="spellEnd"/>
      <w:r w:rsidRPr="005F1FAF">
        <w:rPr>
          <w:b/>
          <w:sz w:val="24"/>
          <w:szCs w:val="24"/>
        </w:rPr>
        <w:t xml:space="preserve"> a 6-a </w:t>
      </w:r>
    </w:p>
    <w:p w:rsidR="004E757A" w:rsidRPr="005F1FAF" w:rsidRDefault="004E757A" w:rsidP="004E757A">
      <w:pPr>
        <w:ind w:left="1416" w:hanging="1516"/>
        <w:jc w:val="center"/>
        <w:rPr>
          <w:b/>
          <w:sz w:val="24"/>
          <w:szCs w:val="24"/>
        </w:rPr>
      </w:pPr>
      <w:r w:rsidRPr="005F1FAF">
        <w:rPr>
          <w:b/>
          <w:sz w:val="24"/>
          <w:szCs w:val="24"/>
        </w:rPr>
        <w:t>Consultările efectuate în vederea elaborării prezentului act normativ</w:t>
      </w:r>
    </w:p>
    <w:p w:rsidR="00792FAE" w:rsidRPr="005F1FAF" w:rsidRDefault="00792FAE" w:rsidP="004E757A">
      <w:pPr>
        <w:ind w:left="1416" w:hanging="1516"/>
        <w:jc w:val="center"/>
        <w:rPr>
          <w:b/>
          <w:sz w:val="24"/>
          <w:szCs w:val="24"/>
        </w:rPr>
      </w:pPr>
    </w:p>
    <w:tbl>
      <w:tblPr>
        <w:tblW w:w="99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1"/>
        <w:gridCol w:w="5850"/>
      </w:tblGrid>
      <w:tr w:rsidR="008973C7" w:rsidRPr="005F1FAF" w:rsidTr="00F32EC6">
        <w:trPr>
          <w:trHeight w:val="870"/>
        </w:trPr>
        <w:tc>
          <w:tcPr>
            <w:tcW w:w="4131" w:type="dxa"/>
          </w:tcPr>
          <w:p w:rsidR="008973C7" w:rsidRPr="005F1FAF" w:rsidRDefault="008973C7" w:rsidP="008973C7">
            <w:pPr>
              <w:rPr>
                <w:sz w:val="24"/>
                <w:szCs w:val="24"/>
              </w:rPr>
            </w:pPr>
            <w:r w:rsidRPr="005F1FAF">
              <w:rPr>
                <w:sz w:val="24"/>
                <w:szCs w:val="24"/>
              </w:rPr>
              <w:t xml:space="preserve">1.Informaţii privind procesul de consultare cu </w:t>
            </w:r>
            <w:proofErr w:type="spellStart"/>
            <w:r w:rsidRPr="005F1FAF">
              <w:rPr>
                <w:sz w:val="24"/>
                <w:szCs w:val="24"/>
              </w:rPr>
              <w:t>organizaţii</w:t>
            </w:r>
            <w:proofErr w:type="spellEnd"/>
            <w:r w:rsidRPr="005F1FAF">
              <w:rPr>
                <w:sz w:val="24"/>
                <w:szCs w:val="24"/>
              </w:rPr>
              <w:t xml:space="preserve"> neguvernamentale, institute de cercetare </w:t>
            </w:r>
            <w:proofErr w:type="spellStart"/>
            <w:r w:rsidRPr="005F1FAF">
              <w:rPr>
                <w:sz w:val="24"/>
                <w:szCs w:val="24"/>
              </w:rPr>
              <w:t>şi</w:t>
            </w:r>
            <w:proofErr w:type="spellEnd"/>
            <w:r w:rsidRPr="005F1FAF">
              <w:rPr>
                <w:sz w:val="24"/>
                <w:szCs w:val="24"/>
              </w:rPr>
              <w:t xml:space="preserve"> alte organisme implicate</w:t>
            </w:r>
          </w:p>
        </w:tc>
        <w:tc>
          <w:tcPr>
            <w:tcW w:w="5850" w:type="dxa"/>
          </w:tcPr>
          <w:p w:rsidR="008973C7" w:rsidRPr="005F1FAF" w:rsidRDefault="008973C7" w:rsidP="008973C7">
            <w:pPr>
              <w:jc w:val="both"/>
              <w:rPr>
                <w:sz w:val="24"/>
                <w:szCs w:val="24"/>
              </w:rPr>
            </w:pPr>
            <w:r w:rsidRPr="005F1FAF">
              <w:rPr>
                <w:color w:val="000000"/>
                <w:sz w:val="24"/>
                <w:szCs w:val="24"/>
              </w:rPr>
              <w:t>Proiectul de act normativ nu se referă la acest subiect.</w:t>
            </w:r>
          </w:p>
        </w:tc>
      </w:tr>
      <w:tr w:rsidR="008973C7" w:rsidRPr="005F1FAF" w:rsidTr="00F32EC6">
        <w:trPr>
          <w:trHeight w:val="1169"/>
        </w:trPr>
        <w:tc>
          <w:tcPr>
            <w:tcW w:w="4131" w:type="dxa"/>
          </w:tcPr>
          <w:p w:rsidR="008973C7" w:rsidRPr="005F1FAF" w:rsidRDefault="008973C7" w:rsidP="008973C7">
            <w:pPr>
              <w:rPr>
                <w:sz w:val="24"/>
                <w:szCs w:val="24"/>
              </w:rPr>
            </w:pPr>
            <w:r w:rsidRPr="005F1FAF">
              <w:rPr>
                <w:sz w:val="24"/>
                <w:szCs w:val="24"/>
              </w:rPr>
              <w:t xml:space="preserve">2.Fundamentarea alegerii </w:t>
            </w:r>
            <w:proofErr w:type="spellStart"/>
            <w:r w:rsidRPr="005F1FAF">
              <w:rPr>
                <w:sz w:val="24"/>
                <w:szCs w:val="24"/>
              </w:rPr>
              <w:t>organizaţiilor</w:t>
            </w:r>
            <w:proofErr w:type="spellEnd"/>
            <w:r w:rsidRPr="005F1FAF">
              <w:rPr>
                <w:sz w:val="24"/>
                <w:szCs w:val="24"/>
              </w:rPr>
              <w:t xml:space="preserve"> cu care a avut loc consultarea, precum </w:t>
            </w:r>
            <w:proofErr w:type="spellStart"/>
            <w:r w:rsidRPr="005F1FAF">
              <w:rPr>
                <w:sz w:val="24"/>
                <w:szCs w:val="24"/>
              </w:rPr>
              <w:t>şi</w:t>
            </w:r>
            <w:proofErr w:type="spellEnd"/>
            <w:r w:rsidRPr="005F1FAF">
              <w:rPr>
                <w:sz w:val="24"/>
                <w:szCs w:val="24"/>
              </w:rPr>
              <w:t xml:space="preserve"> a modului în care activitatea acestor </w:t>
            </w:r>
            <w:proofErr w:type="spellStart"/>
            <w:r w:rsidRPr="005F1FAF">
              <w:rPr>
                <w:sz w:val="24"/>
                <w:szCs w:val="24"/>
              </w:rPr>
              <w:t>organizaţii</w:t>
            </w:r>
            <w:proofErr w:type="spellEnd"/>
            <w:r w:rsidRPr="005F1FAF">
              <w:rPr>
                <w:sz w:val="24"/>
                <w:szCs w:val="24"/>
              </w:rPr>
              <w:t xml:space="preserve"> este legată de obiectul proiectului de act normativ</w:t>
            </w:r>
          </w:p>
        </w:tc>
        <w:tc>
          <w:tcPr>
            <w:tcW w:w="5850" w:type="dxa"/>
          </w:tcPr>
          <w:p w:rsidR="008973C7" w:rsidRPr="005F1FAF" w:rsidRDefault="008973C7" w:rsidP="008973C7">
            <w:pPr>
              <w:jc w:val="both"/>
              <w:rPr>
                <w:sz w:val="24"/>
                <w:szCs w:val="24"/>
              </w:rPr>
            </w:pPr>
            <w:r w:rsidRPr="005F1FAF">
              <w:rPr>
                <w:color w:val="000000"/>
                <w:sz w:val="24"/>
                <w:szCs w:val="24"/>
              </w:rPr>
              <w:t>Proiectul de act normativ nu se referă la acest subiect.</w:t>
            </w:r>
          </w:p>
        </w:tc>
      </w:tr>
      <w:tr w:rsidR="008973C7" w:rsidRPr="005F1FAF" w:rsidTr="00F32EC6">
        <w:tc>
          <w:tcPr>
            <w:tcW w:w="4131" w:type="dxa"/>
          </w:tcPr>
          <w:p w:rsidR="008973C7" w:rsidRPr="005F1FAF" w:rsidRDefault="008973C7" w:rsidP="008973C7">
            <w:pPr>
              <w:rPr>
                <w:sz w:val="24"/>
                <w:szCs w:val="24"/>
              </w:rPr>
            </w:pPr>
            <w:r w:rsidRPr="005F1FAF">
              <w:rPr>
                <w:sz w:val="24"/>
                <w:szCs w:val="24"/>
              </w:rPr>
              <w:t xml:space="preserve">3.Consultările organizate cu </w:t>
            </w:r>
            <w:proofErr w:type="spellStart"/>
            <w:r w:rsidRPr="005F1FAF">
              <w:rPr>
                <w:sz w:val="24"/>
                <w:szCs w:val="24"/>
              </w:rPr>
              <w:t>autorităţile</w:t>
            </w:r>
            <w:proofErr w:type="spellEnd"/>
            <w:r w:rsidRPr="005F1FAF">
              <w:rPr>
                <w:sz w:val="24"/>
                <w:szCs w:val="24"/>
              </w:rPr>
              <w:t xml:space="preserve"> </w:t>
            </w:r>
            <w:proofErr w:type="spellStart"/>
            <w:r w:rsidRPr="005F1FAF">
              <w:rPr>
                <w:sz w:val="24"/>
                <w:szCs w:val="24"/>
              </w:rPr>
              <w:t>administraţiei</w:t>
            </w:r>
            <w:proofErr w:type="spellEnd"/>
            <w:r w:rsidRPr="005F1FAF">
              <w:rPr>
                <w:sz w:val="24"/>
                <w:szCs w:val="24"/>
              </w:rPr>
              <w:t xml:space="preserve"> publice locale, în </w:t>
            </w:r>
            <w:proofErr w:type="spellStart"/>
            <w:r w:rsidRPr="005F1FAF">
              <w:rPr>
                <w:sz w:val="24"/>
                <w:szCs w:val="24"/>
              </w:rPr>
              <w:t>situaţia</w:t>
            </w:r>
            <w:proofErr w:type="spellEnd"/>
            <w:r w:rsidRPr="005F1FAF">
              <w:rPr>
                <w:sz w:val="24"/>
                <w:szCs w:val="24"/>
              </w:rPr>
              <w:t xml:space="preserve"> în care proiectul de act normativ are ca obiect </w:t>
            </w:r>
            <w:proofErr w:type="spellStart"/>
            <w:r w:rsidRPr="005F1FAF">
              <w:rPr>
                <w:sz w:val="24"/>
                <w:szCs w:val="24"/>
              </w:rPr>
              <w:t>activităţi</w:t>
            </w:r>
            <w:proofErr w:type="spellEnd"/>
            <w:r w:rsidRPr="005F1FAF">
              <w:rPr>
                <w:sz w:val="24"/>
                <w:szCs w:val="24"/>
              </w:rPr>
              <w:t xml:space="preserve"> ale acestor </w:t>
            </w:r>
            <w:proofErr w:type="spellStart"/>
            <w:r w:rsidRPr="005F1FAF">
              <w:rPr>
                <w:sz w:val="24"/>
                <w:szCs w:val="24"/>
              </w:rPr>
              <w:t>autorităţi</w:t>
            </w:r>
            <w:proofErr w:type="spellEnd"/>
            <w:r w:rsidRPr="005F1FAF">
              <w:rPr>
                <w:sz w:val="24"/>
                <w:szCs w:val="24"/>
              </w:rPr>
              <w:t xml:space="preserve">, în </w:t>
            </w:r>
            <w:proofErr w:type="spellStart"/>
            <w:r w:rsidRPr="005F1FAF">
              <w:rPr>
                <w:sz w:val="24"/>
                <w:szCs w:val="24"/>
              </w:rPr>
              <w:t>condiţiile</w:t>
            </w:r>
            <w:proofErr w:type="spellEnd"/>
            <w:r w:rsidRPr="005F1FAF">
              <w:rPr>
                <w:sz w:val="24"/>
                <w:szCs w:val="24"/>
              </w:rPr>
              <w:t xml:space="preserve"> Hotărârii Guvernului nr. </w:t>
            </w:r>
            <w:r w:rsidRPr="005F1FAF">
              <w:rPr>
                <w:sz w:val="24"/>
                <w:szCs w:val="24"/>
              </w:rPr>
              <w:lastRenderedPageBreak/>
              <w:t xml:space="preserve">521/2005 privind procedura de consultare a structurilor asociative ale </w:t>
            </w:r>
            <w:proofErr w:type="spellStart"/>
            <w:r w:rsidRPr="005F1FAF">
              <w:rPr>
                <w:sz w:val="24"/>
                <w:szCs w:val="24"/>
              </w:rPr>
              <w:t>autorităţilor</w:t>
            </w:r>
            <w:proofErr w:type="spellEnd"/>
            <w:r w:rsidRPr="005F1FAF">
              <w:rPr>
                <w:sz w:val="24"/>
                <w:szCs w:val="24"/>
              </w:rPr>
              <w:t xml:space="preserve"> </w:t>
            </w:r>
            <w:proofErr w:type="spellStart"/>
            <w:r w:rsidRPr="005F1FAF">
              <w:rPr>
                <w:sz w:val="24"/>
                <w:szCs w:val="24"/>
              </w:rPr>
              <w:t>administraţiei</w:t>
            </w:r>
            <w:proofErr w:type="spellEnd"/>
            <w:r w:rsidRPr="005F1FAF">
              <w:rPr>
                <w:sz w:val="24"/>
                <w:szCs w:val="24"/>
              </w:rPr>
              <w:t xml:space="preserve"> publice locale la elaborarea proiectelor de acte normative</w:t>
            </w:r>
          </w:p>
        </w:tc>
        <w:tc>
          <w:tcPr>
            <w:tcW w:w="5850" w:type="dxa"/>
          </w:tcPr>
          <w:p w:rsidR="008973C7" w:rsidRPr="005F1FAF" w:rsidRDefault="008973C7" w:rsidP="008973C7">
            <w:pPr>
              <w:jc w:val="both"/>
              <w:rPr>
                <w:sz w:val="24"/>
              </w:rPr>
            </w:pPr>
            <w:r w:rsidRPr="005F1FAF">
              <w:rPr>
                <w:sz w:val="24"/>
              </w:rPr>
              <w:lastRenderedPageBreak/>
              <w:t xml:space="preserve">Proiectul de act normativ nu are o legătură directă cu </w:t>
            </w:r>
            <w:proofErr w:type="spellStart"/>
            <w:r w:rsidRPr="005F1FAF">
              <w:rPr>
                <w:sz w:val="24"/>
              </w:rPr>
              <w:t>autorităţile</w:t>
            </w:r>
            <w:proofErr w:type="spellEnd"/>
            <w:r w:rsidRPr="005F1FAF">
              <w:rPr>
                <w:sz w:val="24"/>
              </w:rPr>
              <w:t xml:space="preserve"> </w:t>
            </w:r>
            <w:proofErr w:type="spellStart"/>
            <w:r w:rsidRPr="005F1FAF">
              <w:rPr>
                <w:sz w:val="24"/>
              </w:rPr>
              <w:t>administraţiei</w:t>
            </w:r>
            <w:proofErr w:type="spellEnd"/>
            <w:r w:rsidRPr="005F1FAF">
              <w:rPr>
                <w:sz w:val="24"/>
              </w:rPr>
              <w:t xml:space="preserve"> publice locale. </w:t>
            </w:r>
          </w:p>
          <w:p w:rsidR="008973C7" w:rsidRPr="005F1FAF" w:rsidRDefault="008973C7" w:rsidP="008973C7">
            <w:pPr>
              <w:jc w:val="both"/>
              <w:rPr>
                <w:sz w:val="24"/>
              </w:rPr>
            </w:pPr>
            <w:r w:rsidRPr="005F1FAF">
              <w:rPr>
                <w:sz w:val="24"/>
              </w:rPr>
              <w:t xml:space="preserve">             </w:t>
            </w:r>
          </w:p>
        </w:tc>
      </w:tr>
      <w:tr w:rsidR="008973C7" w:rsidRPr="005F1FAF" w:rsidTr="00F32EC6">
        <w:tc>
          <w:tcPr>
            <w:tcW w:w="4131" w:type="dxa"/>
          </w:tcPr>
          <w:p w:rsidR="008973C7" w:rsidRPr="005F1FAF" w:rsidRDefault="008973C7" w:rsidP="008973C7">
            <w:pPr>
              <w:rPr>
                <w:sz w:val="24"/>
                <w:szCs w:val="24"/>
              </w:rPr>
            </w:pPr>
            <w:r w:rsidRPr="005F1FAF">
              <w:rPr>
                <w:sz w:val="24"/>
                <w:szCs w:val="24"/>
              </w:rPr>
              <w:t xml:space="preserve">4.Consultările </w:t>
            </w:r>
            <w:proofErr w:type="spellStart"/>
            <w:r w:rsidRPr="005F1FAF">
              <w:rPr>
                <w:sz w:val="24"/>
                <w:szCs w:val="24"/>
              </w:rPr>
              <w:t>desfăşurate</w:t>
            </w:r>
            <w:proofErr w:type="spellEnd"/>
            <w:r w:rsidRPr="005F1FAF">
              <w:rPr>
                <w:sz w:val="24"/>
                <w:szCs w:val="24"/>
              </w:rPr>
              <w:t xml:space="preserve"> în cadrul comisiilor interministeriale, în conformitate cu prevederile Hotărârii Guvernului nr. 750/2005 privind constituirea consiliilor interministeriale permanente</w:t>
            </w:r>
          </w:p>
        </w:tc>
        <w:tc>
          <w:tcPr>
            <w:tcW w:w="5850" w:type="dxa"/>
          </w:tcPr>
          <w:p w:rsidR="008973C7" w:rsidRPr="005F1FAF" w:rsidRDefault="008973C7" w:rsidP="008973C7">
            <w:pPr>
              <w:jc w:val="both"/>
              <w:rPr>
                <w:sz w:val="24"/>
                <w:szCs w:val="24"/>
              </w:rPr>
            </w:pPr>
            <w:r w:rsidRPr="005F1FAF">
              <w:rPr>
                <w:sz w:val="24"/>
                <w:szCs w:val="24"/>
              </w:rPr>
              <w:t>Proiectul de act normativ nu este supus consultărilor comisiilor interministeriale.</w:t>
            </w:r>
          </w:p>
        </w:tc>
      </w:tr>
      <w:tr w:rsidR="008973C7" w:rsidRPr="005F1FAF" w:rsidTr="00F32EC6">
        <w:tc>
          <w:tcPr>
            <w:tcW w:w="4131" w:type="dxa"/>
          </w:tcPr>
          <w:p w:rsidR="008973C7" w:rsidRPr="005F1FAF" w:rsidRDefault="008973C7" w:rsidP="008973C7">
            <w:pPr>
              <w:rPr>
                <w:sz w:val="24"/>
                <w:szCs w:val="24"/>
              </w:rPr>
            </w:pPr>
            <w:r w:rsidRPr="005F1FAF">
              <w:rPr>
                <w:sz w:val="24"/>
                <w:szCs w:val="24"/>
              </w:rPr>
              <w:t>5.Informaţii privind avizarea de către</w:t>
            </w:r>
          </w:p>
          <w:p w:rsidR="008973C7" w:rsidRPr="005F1FAF" w:rsidRDefault="008973C7" w:rsidP="008973C7">
            <w:pPr>
              <w:rPr>
                <w:sz w:val="24"/>
                <w:szCs w:val="24"/>
              </w:rPr>
            </w:pPr>
            <w:r w:rsidRPr="005F1FAF">
              <w:rPr>
                <w:sz w:val="24"/>
                <w:szCs w:val="24"/>
              </w:rPr>
              <w:t xml:space="preserve">a)Consiliul Legislativ </w:t>
            </w:r>
          </w:p>
          <w:p w:rsidR="008973C7" w:rsidRPr="005F1FAF" w:rsidRDefault="008973C7" w:rsidP="008973C7">
            <w:pPr>
              <w:rPr>
                <w:sz w:val="24"/>
                <w:szCs w:val="24"/>
              </w:rPr>
            </w:pPr>
            <w:r w:rsidRPr="005F1FAF">
              <w:rPr>
                <w:sz w:val="24"/>
                <w:szCs w:val="24"/>
              </w:rPr>
              <w:t xml:space="preserve">b)Consiliul Suprem de Apărare a </w:t>
            </w:r>
            <w:proofErr w:type="spellStart"/>
            <w:r w:rsidRPr="005F1FAF">
              <w:rPr>
                <w:sz w:val="24"/>
                <w:szCs w:val="24"/>
              </w:rPr>
              <w:t>Ţării</w:t>
            </w:r>
            <w:proofErr w:type="spellEnd"/>
          </w:p>
          <w:p w:rsidR="008973C7" w:rsidRPr="005F1FAF" w:rsidRDefault="008973C7" w:rsidP="008973C7">
            <w:pPr>
              <w:rPr>
                <w:sz w:val="24"/>
                <w:szCs w:val="24"/>
              </w:rPr>
            </w:pPr>
            <w:r w:rsidRPr="005F1FAF">
              <w:rPr>
                <w:sz w:val="24"/>
                <w:szCs w:val="24"/>
              </w:rPr>
              <w:t xml:space="preserve">c)Consiliul Economic </w:t>
            </w:r>
            <w:proofErr w:type="spellStart"/>
            <w:r w:rsidRPr="005F1FAF">
              <w:rPr>
                <w:sz w:val="24"/>
                <w:szCs w:val="24"/>
              </w:rPr>
              <w:t>şi</w:t>
            </w:r>
            <w:proofErr w:type="spellEnd"/>
            <w:r w:rsidRPr="005F1FAF">
              <w:rPr>
                <w:sz w:val="24"/>
                <w:szCs w:val="24"/>
              </w:rPr>
              <w:t xml:space="preserve"> Social</w:t>
            </w:r>
          </w:p>
          <w:p w:rsidR="008973C7" w:rsidRPr="005F1FAF" w:rsidRDefault="008973C7" w:rsidP="008973C7">
            <w:pPr>
              <w:rPr>
                <w:sz w:val="24"/>
                <w:szCs w:val="24"/>
              </w:rPr>
            </w:pPr>
            <w:r w:rsidRPr="005F1FAF">
              <w:rPr>
                <w:sz w:val="24"/>
                <w:szCs w:val="24"/>
              </w:rPr>
              <w:t xml:space="preserve">d)Consiliul </w:t>
            </w:r>
            <w:proofErr w:type="spellStart"/>
            <w:r w:rsidRPr="005F1FAF">
              <w:rPr>
                <w:sz w:val="24"/>
                <w:szCs w:val="24"/>
              </w:rPr>
              <w:t>Concurenţei</w:t>
            </w:r>
            <w:proofErr w:type="spellEnd"/>
          </w:p>
          <w:p w:rsidR="008973C7" w:rsidRPr="005F1FAF" w:rsidRDefault="008973C7" w:rsidP="008973C7">
            <w:pPr>
              <w:rPr>
                <w:sz w:val="24"/>
                <w:szCs w:val="24"/>
              </w:rPr>
            </w:pPr>
            <w:r w:rsidRPr="005F1FAF">
              <w:rPr>
                <w:sz w:val="24"/>
                <w:szCs w:val="24"/>
              </w:rPr>
              <w:t>e)Curtea de Conturi</w:t>
            </w:r>
          </w:p>
        </w:tc>
        <w:tc>
          <w:tcPr>
            <w:tcW w:w="5850" w:type="dxa"/>
          </w:tcPr>
          <w:p w:rsidR="008973C7" w:rsidRPr="005F1FAF" w:rsidRDefault="008973C7" w:rsidP="008973C7">
            <w:pPr>
              <w:rPr>
                <w:sz w:val="24"/>
                <w:szCs w:val="24"/>
              </w:rPr>
            </w:pPr>
            <w:r w:rsidRPr="005F1FAF">
              <w:rPr>
                <w:sz w:val="24"/>
                <w:szCs w:val="24"/>
              </w:rPr>
              <w:t>Proiectul de act normativ nu se referă la acest subiect.</w:t>
            </w:r>
          </w:p>
        </w:tc>
      </w:tr>
      <w:tr w:rsidR="008973C7" w:rsidRPr="005F1FAF" w:rsidTr="00F32EC6">
        <w:trPr>
          <w:trHeight w:val="275"/>
        </w:trPr>
        <w:tc>
          <w:tcPr>
            <w:tcW w:w="4131" w:type="dxa"/>
          </w:tcPr>
          <w:p w:rsidR="008973C7" w:rsidRPr="005F1FAF" w:rsidRDefault="008973C7" w:rsidP="008973C7">
            <w:pPr>
              <w:rPr>
                <w:sz w:val="24"/>
                <w:szCs w:val="24"/>
              </w:rPr>
            </w:pPr>
            <w:r w:rsidRPr="005F1FAF">
              <w:rPr>
                <w:sz w:val="24"/>
                <w:szCs w:val="24"/>
              </w:rPr>
              <w:t xml:space="preserve">6. Alte </w:t>
            </w:r>
            <w:proofErr w:type="spellStart"/>
            <w:r w:rsidRPr="005F1FAF">
              <w:rPr>
                <w:sz w:val="24"/>
                <w:szCs w:val="24"/>
              </w:rPr>
              <w:t>informaţii</w:t>
            </w:r>
            <w:proofErr w:type="spellEnd"/>
          </w:p>
        </w:tc>
        <w:tc>
          <w:tcPr>
            <w:tcW w:w="5850" w:type="dxa"/>
          </w:tcPr>
          <w:p w:rsidR="008973C7" w:rsidRPr="005F1FAF" w:rsidRDefault="008973C7" w:rsidP="008973C7">
            <w:pPr>
              <w:rPr>
                <w:sz w:val="24"/>
                <w:szCs w:val="24"/>
              </w:rPr>
            </w:pPr>
            <w:r w:rsidRPr="005F1FAF">
              <w:rPr>
                <w:sz w:val="24"/>
                <w:szCs w:val="24"/>
              </w:rPr>
              <w:t>Nu au fost identificate.</w:t>
            </w:r>
          </w:p>
        </w:tc>
      </w:tr>
    </w:tbl>
    <w:p w:rsidR="00177A12" w:rsidRPr="005F1FAF" w:rsidRDefault="00177A12" w:rsidP="004E757A">
      <w:pPr>
        <w:jc w:val="center"/>
        <w:rPr>
          <w:b/>
          <w:i/>
          <w:sz w:val="24"/>
          <w:szCs w:val="24"/>
        </w:rPr>
      </w:pPr>
    </w:p>
    <w:p w:rsidR="004E757A" w:rsidRPr="005F1FAF" w:rsidRDefault="004E757A" w:rsidP="004E757A">
      <w:pPr>
        <w:jc w:val="center"/>
        <w:rPr>
          <w:b/>
          <w:sz w:val="24"/>
          <w:szCs w:val="24"/>
        </w:rPr>
      </w:pPr>
      <w:proofErr w:type="spellStart"/>
      <w:r w:rsidRPr="005F1FAF">
        <w:rPr>
          <w:b/>
          <w:sz w:val="24"/>
          <w:szCs w:val="24"/>
        </w:rPr>
        <w:t>Secţiunea</w:t>
      </w:r>
      <w:proofErr w:type="spellEnd"/>
      <w:r w:rsidRPr="005F1FAF">
        <w:rPr>
          <w:b/>
          <w:sz w:val="24"/>
          <w:szCs w:val="24"/>
        </w:rPr>
        <w:t xml:space="preserve"> a 7-a</w:t>
      </w:r>
    </w:p>
    <w:p w:rsidR="004E757A" w:rsidRPr="005F1FAF" w:rsidRDefault="004E757A" w:rsidP="004E757A">
      <w:pPr>
        <w:jc w:val="center"/>
        <w:rPr>
          <w:b/>
          <w:sz w:val="24"/>
          <w:szCs w:val="24"/>
        </w:rPr>
      </w:pPr>
      <w:proofErr w:type="spellStart"/>
      <w:r w:rsidRPr="005F1FAF">
        <w:rPr>
          <w:b/>
          <w:sz w:val="24"/>
          <w:szCs w:val="24"/>
        </w:rPr>
        <w:t>Activităţi</w:t>
      </w:r>
      <w:proofErr w:type="spellEnd"/>
      <w:r w:rsidRPr="005F1FAF">
        <w:rPr>
          <w:b/>
          <w:sz w:val="24"/>
          <w:szCs w:val="24"/>
        </w:rPr>
        <w:t xml:space="preserve"> de informare publică privind elaborarea</w:t>
      </w:r>
      <w:r w:rsidR="00AF25FC" w:rsidRPr="005F1FAF">
        <w:rPr>
          <w:b/>
          <w:sz w:val="24"/>
          <w:szCs w:val="24"/>
        </w:rPr>
        <w:t xml:space="preserve"> </w:t>
      </w:r>
      <w:proofErr w:type="spellStart"/>
      <w:r w:rsidRPr="005F1FAF">
        <w:rPr>
          <w:b/>
          <w:sz w:val="24"/>
          <w:szCs w:val="24"/>
        </w:rPr>
        <w:t>şi</w:t>
      </w:r>
      <w:proofErr w:type="spellEnd"/>
      <w:r w:rsidRPr="005F1FAF">
        <w:rPr>
          <w:b/>
          <w:sz w:val="24"/>
          <w:szCs w:val="24"/>
        </w:rPr>
        <w:t xml:space="preserve"> implementarea prezentului act normativ</w:t>
      </w:r>
    </w:p>
    <w:p w:rsidR="00792FAE" w:rsidRPr="005F1FAF" w:rsidRDefault="00792FAE" w:rsidP="004E757A">
      <w:pPr>
        <w:jc w:val="center"/>
        <w:rPr>
          <w:b/>
          <w:sz w:val="24"/>
          <w:szCs w:val="24"/>
        </w:rPr>
      </w:pPr>
    </w:p>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6030"/>
      </w:tblGrid>
      <w:tr w:rsidR="004E757A" w:rsidRPr="005F1FAF" w:rsidTr="00792FAE">
        <w:trPr>
          <w:trHeight w:val="971"/>
        </w:trPr>
        <w:tc>
          <w:tcPr>
            <w:tcW w:w="3960" w:type="dxa"/>
            <w:tcBorders>
              <w:top w:val="single" w:sz="4" w:space="0" w:color="auto"/>
              <w:left w:val="single" w:sz="4" w:space="0" w:color="auto"/>
              <w:bottom w:val="single" w:sz="4" w:space="0" w:color="auto"/>
              <w:right w:val="single" w:sz="4" w:space="0" w:color="auto"/>
            </w:tcBorders>
            <w:hideMark/>
          </w:tcPr>
          <w:p w:rsidR="004E757A" w:rsidRPr="005F1FAF" w:rsidRDefault="004E757A" w:rsidP="009E618A">
            <w:pPr>
              <w:jc w:val="both"/>
              <w:rPr>
                <w:sz w:val="24"/>
                <w:szCs w:val="24"/>
              </w:rPr>
            </w:pPr>
            <w:r w:rsidRPr="005F1FAF">
              <w:rPr>
                <w:sz w:val="24"/>
                <w:szCs w:val="24"/>
              </w:rPr>
              <w:t xml:space="preserve">1.Informarea </w:t>
            </w:r>
            <w:proofErr w:type="spellStart"/>
            <w:r w:rsidRPr="005F1FAF">
              <w:rPr>
                <w:sz w:val="24"/>
                <w:szCs w:val="24"/>
              </w:rPr>
              <w:t>societăţii</w:t>
            </w:r>
            <w:proofErr w:type="spellEnd"/>
            <w:r w:rsidRPr="005F1FAF">
              <w:rPr>
                <w:sz w:val="24"/>
                <w:szCs w:val="24"/>
              </w:rPr>
              <w:t xml:space="preserve"> civile cu privire la necesitatea elaborării  actului normativ</w:t>
            </w:r>
          </w:p>
        </w:tc>
        <w:tc>
          <w:tcPr>
            <w:tcW w:w="6030" w:type="dxa"/>
            <w:tcBorders>
              <w:top w:val="single" w:sz="4" w:space="0" w:color="auto"/>
              <w:left w:val="single" w:sz="4" w:space="0" w:color="auto"/>
              <w:bottom w:val="single" w:sz="4" w:space="0" w:color="auto"/>
              <w:right w:val="single" w:sz="4" w:space="0" w:color="auto"/>
            </w:tcBorders>
            <w:hideMark/>
          </w:tcPr>
          <w:p w:rsidR="004E757A" w:rsidRPr="005F1FAF" w:rsidRDefault="008973C7" w:rsidP="009E618A">
            <w:pPr>
              <w:jc w:val="both"/>
              <w:rPr>
                <w:b/>
                <w:sz w:val="24"/>
                <w:szCs w:val="24"/>
              </w:rPr>
            </w:pPr>
            <w:r w:rsidRPr="005F1FAF">
              <w:rPr>
                <w:sz w:val="24"/>
                <w:szCs w:val="24"/>
              </w:rPr>
              <w:t xml:space="preserve">Proiectul prezentului de act normativ a îndeplinit procedura prevăzută de </w:t>
            </w:r>
            <w:proofErr w:type="spellStart"/>
            <w:r w:rsidRPr="005F1FAF">
              <w:rPr>
                <w:sz w:val="24"/>
                <w:szCs w:val="24"/>
              </w:rPr>
              <w:t>dispoziţiile</w:t>
            </w:r>
            <w:proofErr w:type="spellEnd"/>
            <w:r w:rsidRPr="005F1FAF">
              <w:rPr>
                <w:b/>
                <w:sz w:val="24"/>
                <w:szCs w:val="24"/>
              </w:rPr>
              <w:t xml:space="preserve"> </w:t>
            </w:r>
            <w:r w:rsidRPr="005F1FAF">
              <w:rPr>
                <w:rStyle w:val="do1"/>
                <w:b w:val="0"/>
                <w:sz w:val="24"/>
                <w:szCs w:val="24"/>
              </w:rPr>
              <w:t xml:space="preserve">Legii nr. 52/2003 privind </w:t>
            </w:r>
            <w:proofErr w:type="spellStart"/>
            <w:r w:rsidRPr="005F1FAF">
              <w:rPr>
                <w:rStyle w:val="do1"/>
                <w:b w:val="0"/>
                <w:sz w:val="24"/>
                <w:szCs w:val="24"/>
              </w:rPr>
              <w:t>transparenţa</w:t>
            </w:r>
            <w:proofErr w:type="spellEnd"/>
            <w:r w:rsidRPr="005F1FAF">
              <w:rPr>
                <w:rStyle w:val="do1"/>
                <w:b w:val="0"/>
                <w:sz w:val="24"/>
                <w:szCs w:val="24"/>
              </w:rPr>
              <w:t xml:space="preserve"> decizională în </w:t>
            </w:r>
            <w:proofErr w:type="spellStart"/>
            <w:r w:rsidRPr="005F1FAF">
              <w:rPr>
                <w:rStyle w:val="do1"/>
                <w:b w:val="0"/>
                <w:sz w:val="24"/>
                <w:szCs w:val="24"/>
              </w:rPr>
              <w:t>administraţia</w:t>
            </w:r>
            <w:proofErr w:type="spellEnd"/>
            <w:r w:rsidRPr="005F1FAF">
              <w:rPr>
                <w:rStyle w:val="do1"/>
                <w:b w:val="0"/>
                <w:sz w:val="24"/>
                <w:szCs w:val="24"/>
              </w:rPr>
              <w:t xml:space="preserve"> publică, republicată.</w:t>
            </w:r>
          </w:p>
        </w:tc>
      </w:tr>
      <w:tr w:rsidR="004E757A" w:rsidRPr="005F1FAF" w:rsidTr="00792FAE">
        <w:tc>
          <w:tcPr>
            <w:tcW w:w="3960" w:type="dxa"/>
            <w:tcBorders>
              <w:top w:val="single" w:sz="4" w:space="0" w:color="auto"/>
              <w:left w:val="single" w:sz="4" w:space="0" w:color="auto"/>
              <w:bottom w:val="single" w:sz="4" w:space="0" w:color="auto"/>
              <w:right w:val="single" w:sz="4" w:space="0" w:color="auto"/>
            </w:tcBorders>
            <w:hideMark/>
          </w:tcPr>
          <w:p w:rsidR="004E757A" w:rsidRPr="005F1FAF" w:rsidRDefault="004E757A" w:rsidP="009E618A">
            <w:pPr>
              <w:jc w:val="both"/>
              <w:rPr>
                <w:sz w:val="24"/>
                <w:szCs w:val="24"/>
              </w:rPr>
            </w:pPr>
            <w:r w:rsidRPr="005F1FAF">
              <w:rPr>
                <w:sz w:val="24"/>
                <w:szCs w:val="24"/>
              </w:rPr>
              <w:t xml:space="preserve">2.Informarea </w:t>
            </w:r>
            <w:proofErr w:type="spellStart"/>
            <w:r w:rsidRPr="005F1FAF">
              <w:rPr>
                <w:sz w:val="24"/>
                <w:szCs w:val="24"/>
              </w:rPr>
              <w:t>societăţii</w:t>
            </w:r>
            <w:proofErr w:type="spellEnd"/>
            <w:r w:rsidRPr="005F1FAF">
              <w:rPr>
                <w:sz w:val="24"/>
                <w:szCs w:val="24"/>
              </w:rPr>
              <w:t xml:space="preserve"> civile cu privire la eventualul impact asupra mediului în urma implementării actului normativ, precum </w:t>
            </w:r>
            <w:proofErr w:type="spellStart"/>
            <w:r w:rsidRPr="005F1FAF">
              <w:rPr>
                <w:sz w:val="24"/>
                <w:szCs w:val="24"/>
              </w:rPr>
              <w:t>şi</w:t>
            </w:r>
            <w:proofErr w:type="spellEnd"/>
            <w:r w:rsidRPr="005F1FAF">
              <w:rPr>
                <w:sz w:val="24"/>
                <w:szCs w:val="24"/>
              </w:rPr>
              <w:t xml:space="preserve"> efectele asupra </w:t>
            </w:r>
            <w:proofErr w:type="spellStart"/>
            <w:r w:rsidRPr="005F1FAF">
              <w:rPr>
                <w:sz w:val="24"/>
                <w:szCs w:val="24"/>
              </w:rPr>
              <w:t>sănătăţii</w:t>
            </w:r>
            <w:proofErr w:type="spellEnd"/>
            <w:r w:rsidRPr="005F1FAF">
              <w:rPr>
                <w:sz w:val="24"/>
                <w:szCs w:val="24"/>
              </w:rPr>
              <w:t xml:space="preserve"> </w:t>
            </w:r>
            <w:proofErr w:type="spellStart"/>
            <w:r w:rsidRPr="005F1FAF">
              <w:rPr>
                <w:sz w:val="24"/>
                <w:szCs w:val="24"/>
              </w:rPr>
              <w:t>şi</w:t>
            </w:r>
            <w:proofErr w:type="spellEnd"/>
            <w:r w:rsidRPr="005F1FAF">
              <w:rPr>
                <w:sz w:val="24"/>
                <w:szCs w:val="24"/>
              </w:rPr>
              <w:t xml:space="preserve"> </w:t>
            </w:r>
            <w:proofErr w:type="spellStart"/>
            <w:r w:rsidRPr="005F1FAF">
              <w:rPr>
                <w:sz w:val="24"/>
                <w:szCs w:val="24"/>
              </w:rPr>
              <w:t>securităţii</w:t>
            </w:r>
            <w:proofErr w:type="spellEnd"/>
            <w:r w:rsidRPr="005F1FAF">
              <w:rPr>
                <w:sz w:val="24"/>
                <w:szCs w:val="24"/>
              </w:rPr>
              <w:t xml:space="preserve"> </w:t>
            </w:r>
            <w:proofErr w:type="spellStart"/>
            <w:r w:rsidRPr="005F1FAF">
              <w:rPr>
                <w:sz w:val="24"/>
                <w:szCs w:val="24"/>
              </w:rPr>
              <w:t>cetăţenilor</w:t>
            </w:r>
            <w:proofErr w:type="spellEnd"/>
            <w:r w:rsidRPr="005F1FAF">
              <w:rPr>
                <w:sz w:val="24"/>
                <w:szCs w:val="24"/>
              </w:rPr>
              <w:t xml:space="preserve"> sau </w:t>
            </w:r>
            <w:proofErr w:type="spellStart"/>
            <w:r w:rsidRPr="005F1FAF">
              <w:rPr>
                <w:sz w:val="24"/>
                <w:szCs w:val="24"/>
              </w:rPr>
              <w:t>diversităţii</w:t>
            </w:r>
            <w:proofErr w:type="spellEnd"/>
            <w:r w:rsidRPr="005F1FAF">
              <w:rPr>
                <w:sz w:val="24"/>
                <w:szCs w:val="24"/>
              </w:rPr>
              <w:t xml:space="preserve"> biologice</w:t>
            </w:r>
          </w:p>
        </w:tc>
        <w:tc>
          <w:tcPr>
            <w:tcW w:w="6030" w:type="dxa"/>
            <w:tcBorders>
              <w:top w:val="single" w:sz="4" w:space="0" w:color="auto"/>
              <w:left w:val="single" w:sz="4" w:space="0" w:color="auto"/>
              <w:bottom w:val="single" w:sz="4" w:space="0" w:color="auto"/>
              <w:right w:val="single" w:sz="4" w:space="0" w:color="auto"/>
            </w:tcBorders>
            <w:hideMark/>
          </w:tcPr>
          <w:p w:rsidR="004E757A" w:rsidRPr="005F1FAF" w:rsidRDefault="004E757A" w:rsidP="009E618A">
            <w:pPr>
              <w:pStyle w:val="StyleNORMALArialFirstline0cm"/>
              <w:spacing w:before="0" w:after="0"/>
              <w:rPr>
                <w:rFonts w:ascii="Times New Roman" w:hAnsi="Times New Roman"/>
                <w:lang w:val="ro-RO"/>
              </w:rPr>
            </w:pPr>
            <w:r w:rsidRPr="005F1FAF">
              <w:rPr>
                <w:rFonts w:ascii="Times New Roman" w:hAnsi="Times New Roman"/>
                <w:lang w:val="ro-RO"/>
              </w:rPr>
              <w:t>Prezentul act normativ nu produce nici un impact asupra acestui domeniu.</w:t>
            </w:r>
          </w:p>
        </w:tc>
      </w:tr>
      <w:tr w:rsidR="004E757A" w:rsidRPr="005F1FAF" w:rsidTr="00792FAE">
        <w:trPr>
          <w:trHeight w:val="386"/>
        </w:trPr>
        <w:tc>
          <w:tcPr>
            <w:tcW w:w="3960" w:type="dxa"/>
            <w:tcBorders>
              <w:top w:val="single" w:sz="4" w:space="0" w:color="auto"/>
              <w:left w:val="single" w:sz="4" w:space="0" w:color="auto"/>
              <w:bottom w:val="single" w:sz="4" w:space="0" w:color="auto"/>
              <w:right w:val="single" w:sz="4" w:space="0" w:color="auto"/>
            </w:tcBorders>
            <w:hideMark/>
          </w:tcPr>
          <w:p w:rsidR="004E757A" w:rsidRPr="005F1FAF" w:rsidRDefault="004E757A" w:rsidP="009E618A">
            <w:pPr>
              <w:jc w:val="both"/>
              <w:rPr>
                <w:sz w:val="24"/>
                <w:szCs w:val="24"/>
              </w:rPr>
            </w:pPr>
            <w:r w:rsidRPr="005F1FAF">
              <w:rPr>
                <w:sz w:val="24"/>
                <w:szCs w:val="24"/>
              </w:rPr>
              <w:t xml:space="preserve">3. Alte </w:t>
            </w:r>
            <w:proofErr w:type="spellStart"/>
            <w:r w:rsidRPr="005F1FAF">
              <w:rPr>
                <w:sz w:val="24"/>
                <w:szCs w:val="24"/>
              </w:rPr>
              <w:t>informaţii</w:t>
            </w:r>
            <w:proofErr w:type="spellEnd"/>
          </w:p>
        </w:tc>
        <w:tc>
          <w:tcPr>
            <w:tcW w:w="6030" w:type="dxa"/>
            <w:tcBorders>
              <w:top w:val="single" w:sz="4" w:space="0" w:color="auto"/>
              <w:left w:val="single" w:sz="4" w:space="0" w:color="auto"/>
              <w:bottom w:val="single" w:sz="4" w:space="0" w:color="auto"/>
              <w:right w:val="single" w:sz="4" w:space="0" w:color="auto"/>
            </w:tcBorders>
            <w:hideMark/>
          </w:tcPr>
          <w:p w:rsidR="004E757A" w:rsidRPr="005F1FAF" w:rsidRDefault="004E757A" w:rsidP="009E618A">
            <w:pPr>
              <w:rPr>
                <w:sz w:val="24"/>
                <w:szCs w:val="24"/>
              </w:rPr>
            </w:pPr>
            <w:r w:rsidRPr="005F1FAF">
              <w:rPr>
                <w:sz w:val="24"/>
                <w:szCs w:val="24"/>
              </w:rPr>
              <w:t>Nu au fost identificate.</w:t>
            </w:r>
          </w:p>
        </w:tc>
      </w:tr>
    </w:tbl>
    <w:p w:rsidR="00EB1163" w:rsidRPr="005F1FAF" w:rsidRDefault="00EB1163" w:rsidP="004E757A">
      <w:pPr>
        <w:jc w:val="center"/>
        <w:rPr>
          <w:b/>
          <w:i/>
          <w:sz w:val="24"/>
          <w:szCs w:val="24"/>
        </w:rPr>
      </w:pPr>
    </w:p>
    <w:p w:rsidR="004E757A" w:rsidRPr="005F1FAF" w:rsidRDefault="004E757A" w:rsidP="004E757A">
      <w:pPr>
        <w:jc w:val="center"/>
        <w:rPr>
          <w:b/>
          <w:sz w:val="24"/>
          <w:szCs w:val="24"/>
        </w:rPr>
      </w:pPr>
      <w:proofErr w:type="spellStart"/>
      <w:r w:rsidRPr="005F1FAF">
        <w:rPr>
          <w:b/>
          <w:sz w:val="24"/>
          <w:szCs w:val="24"/>
        </w:rPr>
        <w:t>Secţiunea</w:t>
      </w:r>
      <w:proofErr w:type="spellEnd"/>
      <w:r w:rsidRPr="005F1FAF">
        <w:rPr>
          <w:b/>
          <w:sz w:val="24"/>
          <w:szCs w:val="24"/>
        </w:rPr>
        <w:t xml:space="preserve"> a 8-a</w:t>
      </w:r>
    </w:p>
    <w:p w:rsidR="004E757A" w:rsidRPr="005F1FAF" w:rsidRDefault="004E757A" w:rsidP="004E757A">
      <w:pPr>
        <w:jc w:val="center"/>
        <w:rPr>
          <w:b/>
          <w:sz w:val="24"/>
          <w:szCs w:val="24"/>
        </w:rPr>
      </w:pPr>
      <w:r w:rsidRPr="005F1FAF">
        <w:rPr>
          <w:b/>
          <w:sz w:val="24"/>
          <w:szCs w:val="24"/>
        </w:rPr>
        <w:t>Măsuri de implementare</w:t>
      </w:r>
    </w:p>
    <w:p w:rsidR="00792FAE" w:rsidRPr="005F1FAF" w:rsidRDefault="00792FAE" w:rsidP="004E757A">
      <w:pPr>
        <w:jc w:val="center"/>
        <w:rPr>
          <w:b/>
          <w:i/>
          <w:sz w:val="24"/>
          <w:szCs w:val="24"/>
        </w:rPr>
      </w:pPr>
    </w:p>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5850"/>
      </w:tblGrid>
      <w:tr w:rsidR="004E757A" w:rsidRPr="005F1FAF" w:rsidTr="00792FAE">
        <w:trPr>
          <w:trHeight w:val="1128"/>
        </w:trPr>
        <w:tc>
          <w:tcPr>
            <w:tcW w:w="4140" w:type="dxa"/>
            <w:tcBorders>
              <w:top w:val="single" w:sz="4" w:space="0" w:color="auto"/>
              <w:left w:val="single" w:sz="4" w:space="0" w:color="auto"/>
              <w:bottom w:val="single" w:sz="4" w:space="0" w:color="auto"/>
              <w:right w:val="single" w:sz="4" w:space="0" w:color="auto"/>
            </w:tcBorders>
            <w:hideMark/>
          </w:tcPr>
          <w:p w:rsidR="004E757A" w:rsidRPr="005F1FAF" w:rsidRDefault="004E757A" w:rsidP="009E618A">
            <w:pPr>
              <w:jc w:val="both"/>
              <w:rPr>
                <w:sz w:val="24"/>
                <w:szCs w:val="24"/>
              </w:rPr>
            </w:pPr>
            <w:r w:rsidRPr="005F1FAF">
              <w:rPr>
                <w:sz w:val="24"/>
                <w:szCs w:val="24"/>
              </w:rPr>
              <w:t xml:space="preserve">1. Măsurile de punere în aplicare a actului normativ de către </w:t>
            </w:r>
            <w:proofErr w:type="spellStart"/>
            <w:r w:rsidRPr="005F1FAF">
              <w:rPr>
                <w:sz w:val="24"/>
                <w:szCs w:val="24"/>
              </w:rPr>
              <w:t>autorităţile</w:t>
            </w:r>
            <w:proofErr w:type="spellEnd"/>
            <w:r w:rsidRPr="005F1FAF">
              <w:rPr>
                <w:sz w:val="24"/>
                <w:szCs w:val="24"/>
              </w:rPr>
              <w:t xml:space="preserve"> </w:t>
            </w:r>
            <w:proofErr w:type="spellStart"/>
            <w:r w:rsidRPr="005F1FAF">
              <w:rPr>
                <w:sz w:val="24"/>
                <w:szCs w:val="24"/>
              </w:rPr>
              <w:t>administraţiei</w:t>
            </w:r>
            <w:proofErr w:type="spellEnd"/>
            <w:r w:rsidRPr="005F1FAF">
              <w:rPr>
                <w:sz w:val="24"/>
                <w:szCs w:val="24"/>
              </w:rPr>
              <w:t xml:space="preserve"> publice centrale </w:t>
            </w:r>
            <w:proofErr w:type="spellStart"/>
            <w:r w:rsidRPr="005F1FAF">
              <w:rPr>
                <w:sz w:val="24"/>
                <w:szCs w:val="24"/>
              </w:rPr>
              <w:t>şi</w:t>
            </w:r>
            <w:proofErr w:type="spellEnd"/>
            <w:r w:rsidRPr="005F1FAF">
              <w:rPr>
                <w:sz w:val="24"/>
                <w:szCs w:val="24"/>
              </w:rPr>
              <w:t xml:space="preserve">/sau locale – </w:t>
            </w:r>
            <w:proofErr w:type="spellStart"/>
            <w:r w:rsidRPr="005F1FAF">
              <w:rPr>
                <w:sz w:val="24"/>
                <w:szCs w:val="24"/>
              </w:rPr>
              <w:t>înfiinţarea</w:t>
            </w:r>
            <w:proofErr w:type="spellEnd"/>
            <w:r w:rsidRPr="005F1FAF">
              <w:rPr>
                <w:sz w:val="24"/>
                <w:szCs w:val="24"/>
              </w:rPr>
              <w:t xml:space="preserve"> unor noi organisme sau extinderea </w:t>
            </w:r>
            <w:proofErr w:type="spellStart"/>
            <w:r w:rsidRPr="005F1FAF">
              <w:rPr>
                <w:sz w:val="24"/>
                <w:szCs w:val="24"/>
              </w:rPr>
              <w:t>competenţelor</w:t>
            </w:r>
            <w:proofErr w:type="spellEnd"/>
            <w:r w:rsidRPr="005F1FAF">
              <w:rPr>
                <w:sz w:val="24"/>
                <w:szCs w:val="24"/>
              </w:rPr>
              <w:t xml:space="preserve"> </w:t>
            </w:r>
            <w:proofErr w:type="spellStart"/>
            <w:r w:rsidRPr="005F1FAF">
              <w:rPr>
                <w:sz w:val="24"/>
                <w:szCs w:val="24"/>
              </w:rPr>
              <w:t>instituţiilor</w:t>
            </w:r>
            <w:proofErr w:type="spellEnd"/>
            <w:r w:rsidRPr="005F1FAF">
              <w:rPr>
                <w:sz w:val="24"/>
                <w:szCs w:val="24"/>
              </w:rPr>
              <w:t xml:space="preserve"> existente</w:t>
            </w:r>
          </w:p>
        </w:tc>
        <w:tc>
          <w:tcPr>
            <w:tcW w:w="5850" w:type="dxa"/>
            <w:tcBorders>
              <w:top w:val="single" w:sz="4" w:space="0" w:color="auto"/>
              <w:left w:val="single" w:sz="4" w:space="0" w:color="auto"/>
              <w:bottom w:val="single" w:sz="4" w:space="0" w:color="auto"/>
              <w:right w:val="single" w:sz="4" w:space="0" w:color="auto"/>
            </w:tcBorders>
            <w:hideMark/>
          </w:tcPr>
          <w:p w:rsidR="004E757A" w:rsidRPr="005F1FAF" w:rsidRDefault="004E757A" w:rsidP="008973C7">
            <w:pPr>
              <w:pStyle w:val="Heading1"/>
              <w:ind w:firstLine="0"/>
              <w:jc w:val="left"/>
              <w:rPr>
                <w:rFonts w:ascii="Times New Roman" w:hAnsi="Times New Roman"/>
                <w:b w:val="0"/>
                <w:sz w:val="24"/>
                <w:szCs w:val="24"/>
                <w:lang w:val="fr-FR"/>
              </w:rPr>
            </w:pPr>
            <w:proofErr w:type="spellStart"/>
            <w:r w:rsidRPr="005F1FAF">
              <w:rPr>
                <w:rFonts w:ascii="Times New Roman" w:hAnsi="Times New Roman"/>
                <w:b w:val="0"/>
                <w:sz w:val="24"/>
                <w:szCs w:val="24"/>
                <w:lang w:val="fr-FR"/>
              </w:rPr>
              <w:t>Prezentul</w:t>
            </w:r>
            <w:proofErr w:type="spellEnd"/>
            <w:r w:rsidRPr="005F1FAF">
              <w:rPr>
                <w:rFonts w:ascii="Times New Roman" w:hAnsi="Times New Roman"/>
                <w:b w:val="0"/>
                <w:sz w:val="24"/>
                <w:szCs w:val="24"/>
                <w:lang w:val="fr-FR"/>
              </w:rPr>
              <w:t xml:space="preserve"> </w:t>
            </w:r>
            <w:proofErr w:type="spellStart"/>
            <w:r w:rsidRPr="005F1FAF">
              <w:rPr>
                <w:rFonts w:ascii="Times New Roman" w:hAnsi="Times New Roman"/>
                <w:b w:val="0"/>
                <w:sz w:val="24"/>
                <w:szCs w:val="24"/>
                <w:lang w:val="fr-FR"/>
              </w:rPr>
              <w:t>act</w:t>
            </w:r>
            <w:proofErr w:type="spellEnd"/>
            <w:r w:rsidRPr="005F1FAF">
              <w:rPr>
                <w:rFonts w:ascii="Times New Roman" w:hAnsi="Times New Roman"/>
                <w:b w:val="0"/>
                <w:sz w:val="24"/>
                <w:szCs w:val="24"/>
                <w:lang w:val="fr-FR"/>
              </w:rPr>
              <w:t xml:space="preserve"> </w:t>
            </w:r>
            <w:proofErr w:type="spellStart"/>
            <w:r w:rsidRPr="005F1FAF">
              <w:rPr>
                <w:rFonts w:ascii="Times New Roman" w:hAnsi="Times New Roman"/>
                <w:b w:val="0"/>
                <w:sz w:val="24"/>
                <w:szCs w:val="24"/>
                <w:lang w:val="fr-FR"/>
              </w:rPr>
              <w:t>normativ</w:t>
            </w:r>
            <w:proofErr w:type="spellEnd"/>
            <w:r w:rsidRPr="005F1FAF">
              <w:rPr>
                <w:rFonts w:ascii="Times New Roman" w:hAnsi="Times New Roman"/>
                <w:b w:val="0"/>
                <w:sz w:val="24"/>
                <w:szCs w:val="24"/>
                <w:lang w:val="fr-FR"/>
              </w:rPr>
              <w:t xml:space="preserve"> nu se </w:t>
            </w:r>
            <w:proofErr w:type="spellStart"/>
            <w:r w:rsidRPr="005F1FAF">
              <w:rPr>
                <w:rFonts w:ascii="Times New Roman" w:hAnsi="Times New Roman"/>
                <w:b w:val="0"/>
                <w:sz w:val="24"/>
                <w:szCs w:val="24"/>
                <w:lang w:val="fr-FR"/>
              </w:rPr>
              <w:t>referă</w:t>
            </w:r>
            <w:proofErr w:type="spellEnd"/>
            <w:r w:rsidRPr="005F1FAF">
              <w:rPr>
                <w:rFonts w:ascii="Times New Roman" w:hAnsi="Times New Roman"/>
                <w:b w:val="0"/>
                <w:sz w:val="24"/>
                <w:szCs w:val="24"/>
                <w:lang w:val="fr-FR"/>
              </w:rPr>
              <w:t xml:space="preserve"> la </w:t>
            </w:r>
            <w:proofErr w:type="spellStart"/>
            <w:r w:rsidRPr="005F1FAF">
              <w:rPr>
                <w:rFonts w:ascii="Times New Roman" w:hAnsi="Times New Roman"/>
                <w:b w:val="0"/>
                <w:sz w:val="24"/>
                <w:szCs w:val="24"/>
                <w:lang w:val="fr-FR"/>
              </w:rPr>
              <w:t>acest</w:t>
            </w:r>
            <w:proofErr w:type="spellEnd"/>
            <w:r w:rsidRPr="005F1FAF">
              <w:rPr>
                <w:rFonts w:ascii="Times New Roman" w:hAnsi="Times New Roman"/>
                <w:b w:val="0"/>
                <w:sz w:val="24"/>
                <w:szCs w:val="24"/>
                <w:lang w:val="fr-FR"/>
              </w:rPr>
              <w:t xml:space="preserve"> </w:t>
            </w:r>
            <w:proofErr w:type="spellStart"/>
            <w:r w:rsidRPr="005F1FAF">
              <w:rPr>
                <w:rFonts w:ascii="Times New Roman" w:hAnsi="Times New Roman"/>
                <w:b w:val="0"/>
                <w:sz w:val="24"/>
                <w:szCs w:val="24"/>
                <w:lang w:val="fr-FR"/>
              </w:rPr>
              <w:t>domeniu</w:t>
            </w:r>
            <w:proofErr w:type="spellEnd"/>
            <w:r w:rsidRPr="005F1FAF">
              <w:rPr>
                <w:rFonts w:ascii="Times New Roman" w:hAnsi="Times New Roman"/>
                <w:b w:val="0"/>
                <w:sz w:val="24"/>
                <w:szCs w:val="24"/>
                <w:lang w:val="fr-FR"/>
              </w:rPr>
              <w:t>.</w:t>
            </w:r>
          </w:p>
          <w:p w:rsidR="004E757A" w:rsidRPr="005F1FAF" w:rsidRDefault="004E757A" w:rsidP="009E618A">
            <w:pPr>
              <w:rPr>
                <w:sz w:val="24"/>
                <w:szCs w:val="24"/>
              </w:rPr>
            </w:pPr>
          </w:p>
        </w:tc>
      </w:tr>
      <w:tr w:rsidR="004E757A" w:rsidRPr="005F1FAF" w:rsidTr="00792FAE">
        <w:trPr>
          <w:trHeight w:val="530"/>
        </w:trPr>
        <w:tc>
          <w:tcPr>
            <w:tcW w:w="4140" w:type="dxa"/>
            <w:tcBorders>
              <w:top w:val="single" w:sz="4" w:space="0" w:color="auto"/>
              <w:left w:val="single" w:sz="4" w:space="0" w:color="auto"/>
              <w:bottom w:val="single" w:sz="4" w:space="0" w:color="auto"/>
              <w:right w:val="single" w:sz="4" w:space="0" w:color="auto"/>
            </w:tcBorders>
            <w:hideMark/>
          </w:tcPr>
          <w:p w:rsidR="004E757A" w:rsidRPr="005F1FAF" w:rsidRDefault="004E757A" w:rsidP="009E618A">
            <w:pPr>
              <w:jc w:val="both"/>
              <w:rPr>
                <w:sz w:val="24"/>
                <w:szCs w:val="24"/>
              </w:rPr>
            </w:pPr>
            <w:r w:rsidRPr="005F1FAF">
              <w:rPr>
                <w:sz w:val="24"/>
                <w:szCs w:val="24"/>
              </w:rPr>
              <w:t xml:space="preserve">2. Alte </w:t>
            </w:r>
            <w:proofErr w:type="spellStart"/>
            <w:r w:rsidRPr="005F1FAF">
              <w:rPr>
                <w:sz w:val="24"/>
                <w:szCs w:val="24"/>
              </w:rPr>
              <w:t>informaţii</w:t>
            </w:r>
            <w:proofErr w:type="spellEnd"/>
          </w:p>
        </w:tc>
        <w:tc>
          <w:tcPr>
            <w:tcW w:w="5850" w:type="dxa"/>
            <w:tcBorders>
              <w:top w:val="single" w:sz="4" w:space="0" w:color="auto"/>
              <w:left w:val="single" w:sz="4" w:space="0" w:color="auto"/>
              <w:bottom w:val="single" w:sz="4" w:space="0" w:color="auto"/>
              <w:right w:val="single" w:sz="4" w:space="0" w:color="auto"/>
            </w:tcBorders>
            <w:hideMark/>
          </w:tcPr>
          <w:p w:rsidR="004E757A" w:rsidRPr="005F1FAF" w:rsidRDefault="004E757A" w:rsidP="00F32EC6">
            <w:pPr>
              <w:spacing w:before="120"/>
              <w:rPr>
                <w:sz w:val="24"/>
                <w:szCs w:val="24"/>
              </w:rPr>
            </w:pPr>
            <w:r w:rsidRPr="005F1FAF">
              <w:rPr>
                <w:sz w:val="24"/>
                <w:szCs w:val="24"/>
              </w:rPr>
              <w:t>Nu au fost identificate.</w:t>
            </w:r>
          </w:p>
        </w:tc>
      </w:tr>
    </w:tbl>
    <w:p w:rsidR="00857BD5" w:rsidRPr="005F1FAF" w:rsidRDefault="00857BD5" w:rsidP="004E757A">
      <w:pPr>
        <w:jc w:val="both"/>
        <w:rPr>
          <w:sz w:val="24"/>
          <w:szCs w:val="24"/>
        </w:rPr>
      </w:pPr>
    </w:p>
    <w:p w:rsidR="006C20EB" w:rsidRPr="005F1FAF" w:rsidRDefault="006C20EB" w:rsidP="004E757A">
      <w:pPr>
        <w:jc w:val="both"/>
        <w:rPr>
          <w:sz w:val="24"/>
          <w:szCs w:val="24"/>
        </w:rPr>
      </w:pPr>
    </w:p>
    <w:p w:rsidR="006C20EB" w:rsidRPr="005F1FAF" w:rsidRDefault="006C20EB" w:rsidP="004E757A">
      <w:pPr>
        <w:jc w:val="both"/>
        <w:rPr>
          <w:sz w:val="24"/>
          <w:szCs w:val="24"/>
        </w:rPr>
      </w:pPr>
    </w:p>
    <w:p w:rsidR="006C20EB" w:rsidRPr="005F1FAF" w:rsidRDefault="006C20EB" w:rsidP="004E757A">
      <w:pPr>
        <w:jc w:val="both"/>
        <w:rPr>
          <w:sz w:val="24"/>
          <w:szCs w:val="24"/>
        </w:rPr>
      </w:pPr>
    </w:p>
    <w:p w:rsidR="006C20EB" w:rsidRPr="005F1FAF" w:rsidRDefault="006C20EB" w:rsidP="004E757A">
      <w:pPr>
        <w:jc w:val="both"/>
        <w:rPr>
          <w:sz w:val="24"/>
          <w:szCs w:val="24"/>
        </w:rPr>
      </w:pPr>
    </w:p>
    <w:p w:rsidR="006C20EB" w:rsidRPr="005F1FAF" w:rsidRDefault="006C20EB" w:rsidP="004E757A">
      <w:pPr>
        <w:jc w:val="both"/>
        <w:rPr>
          <w:sz w:val="24"/>
          <w:szCs w:val="24"/>
        </w:rPr>
      </w:pPr>
    </w:p>
    <w:p w:rsidR="006C20EB" w:rsidRPr="005F1FAF" w:rsidRDefault="006C20EB" w:rsidP="004E757A">
      <w:pPr>
        <w:jc w:val="both"/>
        <w:rPr>
          <w:sz w:val="24"/>
          <w:szCs w:val="24"/>
        </w:rPr>
      </w:pPr>
    </w:p>
    <w:p w:rsidR="006C20EB" w:rsidRPr="005F1FAF" w:rsidRDefault="006C20EB" w:rsidP="004E757A">
      <w:pPr>
        <w:jc w:val="both"/>
        <w:rPr>
          <w:sz w:val="24"/>
          <w:szCs w:val="24"/>
        </w:rPr>
      </w:pPr>
    </w:p>
    <w:p w:rsidR="00EB1163" w:rsidRPr="005F1FAF" w:rsidRDefault="00EB1163" w:rsidP="004E757A">
      <w:pPr>
        <w:jc w:val="both"/>
        <w:rPr>
          <w:sz w:val="24"/>
          <w:szCs w:val="24"/>
        </w:rPr>
      </w:pPr>
    </w:p>
    <w:p w:rsidR="00EB1163" w:rsidRPr="005F1FAF" w:rsidRDefault="00EB1163" w:rsidP="004E757A">
      <w:pPr>
        <w:jc w:val="both"/>
        <w:rPr>
          <w:sz w:val="24"/>
          <w:szCs w:val="24"/>
        </w:rPr>
      </w:pPr>
    </w:p>
    <w:p w:rsidR="00871DFC" w:rsidRPr="005F1FAF" w:rsidRDefault="00871DFC" w:rsidP="00FB3E1B">
      <w:pPr>
        <w:tabs>
          <w:tab w:val="left" w:pos="3970"/>
        </w:tabs>
        <w:jc w:val="both"/>
        <w:rPr>
          <w:sz w:val="24"/>
          <w:szCs w:val="24"/>
        </w:rPr>
      </w:pPr>
    </w:p>
    <w:p w:rsidR="008973C7" w:rsidRPr="005F1FAF" w:rsidRDefault="008973C7" w:rsidP="008973C7">
      <w:pPr>
        <w:tabs>
          <w:tab w:val="left" w:pos="3970"/>
        </w:tabs>
        <w:jc w:val="both"/>
        <w:rPr>
          <w:sz w:val="24"/>
          <w:szCs w:val="24"/>
        </w:rPr>
      </w:pPr>
    </w:p>
    <w:p w:rsidR="009453B6" w:rsidRPr="005F1FAF" w:rsidRDefault="00252F1E" w:rsidP="00FB3E1B">
      <w:pPr>
        <w:ind w:firstLine="720"/>
        <w:jc w:val="both"/>
        <w:rPr>
          <w:sz w:val="24"/>
          <w:szCs w:val="24"/>
          <w:lang w:eastAsia="ro-RO"/>
        </w:rPr>
      </w:pPr>
      <w:r w:rsidRPr="005F1FAF">
        <w:rPr>
          <w:sz w:val="24"/>
          <w:szCs w:val="24"/>
          <w:lang w:eastAsia="ro-RO"/>
        </w:rPr>
        <w:t xml:space="preserve">Pentru considerentele de mai sus, am elaborat alăturat proiectul de </w:t>
      </w:r>
      <w:r w:rsidR="0067604C" w:rsidRPr="005F1FAF">
        <w:rPr>
          <w:sz w:val="24"/>
          <w:szCs w:val="24"/>
        </w:rPr>
        <w:t xml:space="preserve">Hotărâre a Guvernului </w:t>
      </w:r>
      <w:r w:rsidR="0067604C" w:rsidRPr="005F1FAF">
        <w:rPr>
          <w:rStyle w:val="tpa1"/>
          <w:sz w:val="24"/>
          <w:szCs w:val="24"/>
        </w:rPr>
        <w:t>privind suplimentarea pe anul 2021 a sumei prevăzute ca justă despăgubire aprobate prin</w:t>
      </w:r>
      <w:r w:rsidR="0067604C" w:rsidRPr="005F1FAF">
        <w:rPr>
          <w:bCs/>
          <w:sz w:val="24"/>
          <w:szCs w:val="24"/>
          <w:lang w:eastAsia="ar-SA"/>
        </w:rPr>
        <w:t xml:space="preserve"> Hotărârea Guvernului nr. </w:t>
      </w:r>
      <w:hyperlink r:id="rId11" w:history="1">
        <w:r w:rsidR="0067604C" w:rsidRPr="005F1FAF">
          <w:rPr>
            <w:rStyle w:val="Hyperlink"/>
            <w:bCs/>
            <w:color w:val="auto"/>
            <w:sz w:val="24"/>
            <w:szCs w:val="24"/>
            <w:u w:val="none"/>
            <w:lang w:val="en-US"/>
          </w:rPr>
          <w:t>499/2010</w:t>
        </w:r>
      </w:hyperlink>
      <w:r w:rsidR="0067604C" w:rsidRPr="005F1FAF">
        <w:rPr>
          <w:bCs/>
          <w:sz w:val="24"/>
          <w:szCs w:val="24"/>
          <w:lang w:val="en-US"/>
        </w:rPr>
        <w:t xml:space="preserve"> </w:t>
      </w:r>
      <w:proofErr w:type="spellStart"/>
      <w:r w:rsidR="0067604C" w:rsidRPr="005F1FAF">
        <w:rPr>
          <w:bCs/>
          <w:sz w:val="24"/>
          <w:szCs w:val="24"/>
          <w:lang w:val="en-US"/>
        </w:rPr>
        <w:t>privind</w:t>
      </w:r>
      <w:proofErr w:type="spellEnd"/>
      <w:r w:rsidR="0067604C" w:rsidRPr="005F1FAF">
        <w:rPr>
          <w:bCs/>
          <w:sz w:val="24"/>
          <w:szCs w:val="24"/>
          <w:lang w:val="en-US"/>
        </w:rPr>
        <w:t xml:space="preserve"> </w:t>
      </w:r>
      <w:proofErr w:type="spellStart"/>
      <w:r w:rsidR="0067604C" w:rsidRPr="005F1FAF">
        <w:rPr>
          <w:bCs/>
          <w:sz w:val="24"/>
          <w:szCs w:val="24"/>
          <w:lang w:val="en-US"/>
        </w:rPr>
        <w:t>declanşarea</w:t>
      </w:r>
      <w:proofErr w:type="spellEnd"/>
      <w:r w:rsidR="0067604C" w:rsidRPr="005F1FAF">
        <w:rPr>
          <w:bCs/>
          <w:sz w:val="24"/>
          <w:szCs w:val="24"/>
          <w:lang w:val="en-US"/>
        </w:rPr>
        <w:t xml:space="preserve"> </w:t>
      </w:r>
      <w:proofErr w:type="spellStart"/>
      <w:r w:rsidR="0067604C" w:rsidRPr="005F1FAF">
        <w:rPr>
          <w:bCs/>
          <w:sz w:val="24"/>
          <w:szCs w:val="24"/>
          <w:lang w:val="en-US"/>
        </w:rPr>
        <w:t>procedurilor</w:t>
      </w:r>
      <w:proofErr w:type="spellEnd"/>
      <w:r w:rsidR="0067604C" w:rsidRPr="005F1FAF">
        <w:rPr>
          <w:bCs/>
          <w:sz w:val="24"/>
          <w:szCs w:val="24"/>
          <w:lang w:val="en-US"/>
        </w:rPr>
        <w:t xml:space="preserve"> de </w:t>
      </w:r>
      <w:proofErr w:type="spellStart"/>
      <w:r w:rsidR="0067604C" w:rsidRPr="005F1FAF">
        <w:rPr>
          <w:bCs/>
          <w:sz w:val="24"/>
          <w:szCs w:val="24"/>
          <w:lang w:val="en-US"/>
        </w:rPr>
        <w:t>expropriere</w:t>
      </w:r>
      <w:proofErr w:type="spellEnd"/>
      <w:r w:rsidR="0067604C" w:rsidRPr="005F1FAF">
        <w:rPr>
          <w:bCs/>
          <w:sz w:val="24"/>
          <w:szCs w:val="24"/>
          <w:lang w:val="en-US"/>
        </w:rPr>
        <w:t xml:space="preserve"> a </w:t>
      </w:r>
      <w:proofErr w:type="spellStart"/>
      <w:r w:rsidR="0067604C" w:rsidRPr="005F1FAF">
        <w:rPr>
          <w:bCs/>
          <w:sz w:val="24"/>
          <w:szCs w:val="24"/>
          <w:lang w:val="en-US"/>
        </w:rPr>
        <w:t>imobilelor</w:t>
      </w:r>
      <w:proofErr w:type="spellEnd"/>
      <w:r w:rsidR="0067604C" w:rsidRPr="005F1FAF">
        <w:rPr>
          <w:bCs/>
          <w:sz w:val="24"/>
          <w:szCs w:val="24"/>
          <w:lang w:val="en-US"/>
        </w:rPr>
        <w:t xml:space="preserve"> </w:t>
      </w:r>
      <w:proofErr w:type="spellStart"/>
      <w:r w:rsidR="0067604C" w:rsidRPr="005F1FAF">
        <w:rPr>
          <w:bCs/>
          <w:sz w:val="24"/>
          <w:szCs w:val="24"/>
          <w:lang w:val="en-US"/>
        </w:rPr>
        <w:t>proprietate</w:t>
      </w:r>
      <w:proofErr w:type="spellEnd"/>
      <w:r w:rsidR="0067604C" w:rsidRPr="005F1FAF">
        <w:rPr>
          <w:bCs/>
          <w:sz w:val="24"/>
          <w:szCs w:val="24"/>
          <w:lang w:val="en-US"/>
        </w:rPr>
        <w:t xml:space="preserve"> </w:t>
      </w:r>
      <w:proofErr w:type="spellStart"/>
      <w:r w:rsidR="0067604C" w:rsidRPr="005F1FAF">
        <w:rPr>
          <w:bCs/>
          <w:sz w:val="24"/>
          <w:szCs w:val="24"/>
          <w:lang w:val="en-US"/>
        </w:rPr>
        <w:t>privată</w:t>
      </w:r>
      <w:proofErr w:type="spellEnd"/>
      <w:r w:rsidR="0067604C" w:rsidRPr="005F1FAF">
        <w:rPr>
          <w:bCs/>
          <w:sz w:val="24"/>
          <w:szCs w:val="24"/>
          <w:lang w:val="en-US"/>
        </w:rPr>
        <w:t xml:space="preserve"> situate </w:t>
      </w:r>
      <w:proofErr w:type="spellStart"/>
      <w:r w:rsidR="0067604C" w:rsidRPr="005F1FAF">
        <w:rPr>
          <w:bCs/>
          <w:sz w:val="24"/>
          <w:szCs w:val="24"/>
          <w:lang w:val="en-US"/>
        </w:rPr>
        <w:t>pe</w:t>
      </w:r>
      <w:proofErr w:type="spellEnd"/>
      <w:r w:rsidR="0067604C" w:rsidRPr="005F1FAF">
        <w:rPr>
          <w:bCs/>
          <w:sz w:val="24"/>
          <w:szCs w:val="24"/>
          <w:lang w:val="en-US"/>
        </w:rPr>
        <w:t xml:space="preserve"> </w:t>
      </w:r>
      <w:proofErr w:type="spellStart"/>
      <w:r w:rsidR="0067604C" w:rsidRPr="005F1FAF">
        <w:rPr>
          <w:bCs/>
          <w:sz w:val="24"/>
          <w:szCs w:val="24"/>
          <w:lang w:val="en-US"/>
        </w:rPr>
        <w:t>amplasamentul</w:t>
      </w:r>
      <w:proofErr w:type="spellEnd"/>
      <w:r w:rsidR="0067604C" w:rsidRPr="005F1FAF">
        <w:rPr>
          <w:bCs/>
          <w:sz w:val="24"/>
          <w:szCs w:val="24"/>
          <w:lang w:val="en-US"/>
        </w:rPr>
        <w:t xml:space="preserve"> </w:t>
      </w:r>
      <w:proofErr w:type="spellStart"/>
      <w:r w:rsidR="0067604C" w:rsidRPr="005F1FAF">
        <w:rPr>
          <w:bCs/>
          <w:sz w:val="24"/>
          <w:szCs w:val="24"/>
          <w:lang w:val="en-US"/>
        </w:rPr>
        <w:t>lucrării</w:t>
      </w:r>
      <w:proofErr w:type="spellEnd"/>
      <w:r w:rsidR="0067604C" w:rsidRPr="005F1FAF">
        <w:rPr>
          <w:bCs/>
          <w:sz w:val="24"/>
          <w:szCs w:val="24"/>
          <w:lang w:val="en-US"/>
        </w:rPr>
        <w:t xml:space="preserve"> de </w:t>
      </w:r>
      <w:proofErr w:type="spellStart"/>
      <w:r w:rsidR="0067604C" w:rsidRPr="005F1FAF">
        <w:rPr>
          <w:bCs/>
          <w:sz w:val="24"/>
          <w:szCs w:val="24"/>
          <w:lang w:val="en-US"/>
        </w:rPr>
        <w:t>utilitate</w:t>
      </w:r>
      <w:proofErr w:type="spellEnd"/>
      <w:r w:rsidR="0067604C" w:rsidRPr="005F1FAF">
        <w:rPr>
          <w:bCs/>
          <w:sz w:val="24"/>
          <w:szCs w:val="24"/>
          <w:lang w:val="en-US"/>
        </w:rPr>
        <w:t xml:space="preserve"> </w:t>
      </w:r>
      <w:proofErr w:type="spellStart"/>
      <w:r w:rsidR="0067604C" w:rsidRPr="005F1FAF">
        <w:rPr>
          <w:bCs/>
          <w:sz w:val="24"/>
          <w:szCs w:val="24"/>
          <w:lang w:val="en-US"/>
        </w:rPr>
        <w:t>publică</w:t>
      </w:r>
      <w:proofErr w:type="spellEnd"/>
      <w:r w:rsidR="0067604C" w:rsidRPr="005F1FAF">
        <w:rPr>
          <w:bCs/>
          <w:sz w:val="24"/>
          <w:szCs w:val="24"/>
          <w:lang w:val="en-US"/>
        </w:rPr>
        <w:t xml:space="preserve"> “</w:t>
      </w:r>
      <w:proofErr w:type="spellStart"/>
      <w:r w:rsidR="0067604C" w:rsidRPr="005F1FAF">
        <w:rPr>
          <w:bCs/>
          <w:sz w:val="24"/>
          <w:szCs w:val="24"/>
          <w:lang w:val="en-US"/>
        </w:rPr>
        <w:t>Lărgire</w:t>
      </w:r>
      <w:proofErr w:type="spellEnd"/>
      <w:r w:rsidR="0067604C" w:rsidRPr="005F1FAF">
        <w:rPr>
          <w:bCs/>
          <w:sz w:val="24"/>
          <w:szCs w:val="24"/>
          <w:lang w:val="en-US"/>
        </w:rPr>
        <w:t xml:space="preserve"> la 4 </w:t>
      </w:r>
      <w:proofErr w:type="spellStart"/>
      <w:r w:rsidR="0067604C" w:rsidRPr="005F1FAF">
        <w:rPr>
          <w:bCs/>
          <w:sz w:val="24"/>
          <w:szCs w:val="24"/>
          <w:lang w:val="en-US"/>
        </w:rPr>
        <w:t>benzi</w:t>
      </w:r>
      <w:proofErr w:type="spellEnd"/>
      <w:r w:rsidR="0067604C" w:rsidRPr="005F1FAF">
        <w:rPr>
          <w:bCs/>
          <w:sz w:val="24"/>
          <w:szCs w:val="24"/>
          <w:lang w:val="en-US"/>
        </w:rPr>
        <w:t xml:space="preserve"> - </w:t>
      </w:r>
      <w:proofErr w:type="spellStart"/>
      <w:r w:rsidR="0067604C" w:rsidRPr="005F1FAF">
        <w:rPr>
          <w:bCs/>
          <w:sz w:val="24"/>
          <w:szCs w:val="24"/>
          <w:lang w:val="en-US"/>
        </w:rPr>
        <w:t>Centura</w:t>
      </w:r>
      <w:proofErr w:type="spellEnd"/>
      <w:r w:rsidR="0067604C" w:rsidRPr="005F1FAF">
        <w:rPr>
          <w:bCs/>
          <w:sz w:val="24"/>
          <w:szCs w:val="24"/>
          <w:lang w:val="en-US"/>
        </w:rPr>
        <w:t xml:space="preserve"> </w:t>
      </w:r>
      <w:proofErr w:type="spellStart"/>
      <w:r w:rsidR="0067604C" w:rsidRPr="005F1FAF">
        <w:rPr>
          <w:bCs/>
          <w:sz w:val="24"/>
          <w:szCs w:val="24"/>
          <w:lang w:val="en-US"/>
        </w:rPr>
        <w:t>Bucureşti</w:t>
      </w:r>
      <w:proofErr w:type="spellEnd"/>
      <w:r w:rsidR="0067604C" w:rsidRPr="005F1FAF">
        <w:rPr>
          <w:bCs/>
          <w:sz w:val="24"/>
          <w:szCs w:val="24"/>
          <w:lang w:val="en-US"/>
        </w:rPr>
        <w:t xml:space="preserve"> </w:t>
      </w:r>
      <w:proofErr w:type="spellStart"/>
      <w:r w:rsidR="0067604C" w:rsidRPr="005F1FAF">
        <w:rPr>
          <w:bCs/>
          <w:sz w:val="24"/>
          <w:szCs w:val="24"/>
          <w:lang w:val="en-US"/>
        </w:rPr>
        <w:t>Sud</w:t>
      </w:r>
      <w:proofErr w:type="spellEnd"/>
      <w:r w:rsidR="0067604C" w:rsidRPr="005F1FAF">
        <w:rPr>
          <w:bCs/>
          <w:sz w:val="24"/>
          <w:szCs w:val="24"/>
          <w:lang w:val="en-US"/>
        </w:rPr>
        <w:t xml:space="preserve"> </w:t>
      </w:r>
      <w:proofErr w:type="spellStart"/>
      <w:r w:rsidR="0067604C" w:rsidRPr="005F1FAF">
        <w:rPr>
          <w:bCs/>
          <w:sz w:val="24"/>
          <w:szCs w:val="24"/>
          <w:lang w:val="en-US"/>
        </w:rPr>
        <w:t>între</w:t>
      </w:r>
      <w:proofErr w:type="spellEnd"/>
      <w:r w:rsidR="0067604C" w:rsidRPr="005F1FAF">
        <w:rPr>
          <w:bCs/>
          <w:sz w:val="24"/>
          <w:szCs w:val="24"/>
          <w:lang w:val="en-US"/>
        </w:rPr>
        <w:t xml:space="preserve"> A2 (km 23+600) </w:t>
      </w:r>
      <w:proofErr w:type="spellStart"/>
      <w:r w:rsidR="0067604C" w:rsidRPr="005F1FAF">
        <w:rPr>
          <w:bCs/>
          <w:sz w:val="24"/>
          <w:szCs w:val="24"/>
          <w:lang w:val="en-US"/>
        </w:rPr>
        <w:t>şi</w:t>
      </w:r>
      <w:proofErr w:type="spellEnd"/>
      <w:r w:rsidR="0067604C" w:rsidRPr="005F1FAF">
        <w:rPr>
          <w:bCs/>
          <w:sz w:val="24"/>
          <w:szCs w:val="24"/>
          <w:lang w:val="en-US"/>
        </w:rPr>
        <w:t xml:space="preserve"> A1 (km 55+520)”</w:t>
      </w:r>
      <w:r w:rsidR="0067604C" w:rsidRPr="005F1FAF">
        <w:rPr>
          <w:bCs/>
          <w:sz w:val="24"/>
          <w:szCs w:val="24"/>
        </w:rPr>
        <w:t xml:space="preserve">, </w:t>
      </w:r>
      <w:r w:rsidR="0067604C" w:rsidRPr="005F1FAF">
        <w:rPr>
          <w:rStyle w:val="tpa1"/>
          <w:sz w:val="24"/>
          <w:szCs w:val="24"/>
        </w:rPr>
        <w:t>precum și modificarea</w:t>
      </w:r>
      <w:r w:rsidR="00EB1163" w:rsidRPr="005F1FAF">
        <w:rPr>
          <w:rStyle w:val="tpa1"/>
          <w:sz w:val="24"/>
          <w:szCs w:val="24"/>
        </w:rPr>
        <w:t xml:space="preserve"> și completarea</w:t>
      </w:r>
      <w:r w:rsidR="0067604C" w:rsidRPr="005F1FAF">
        <w:rPr>
          <w:rStyle w:val="tpa1"/>
          <w:sz w:val="24"/>
          <w:szCs w:val="24"/>
        </w:rPr>
        <w:t xml:space="preserve"> anexei nr. 2 la Hotărârea Guvernului nr.</w:t>
      </w:r>
      <w:r w:rsidR="0067604C" w:rsidRPr="005F1FAF">
        <w:rPr>
          <w:bCs/>
          <w:sz w:val="24"/>
          <w:szCs w:val="24"/>
        </w:rPr>
        <w:t xml:space="preserve"> 499/2010, </w:t>
      </w:r>
      <w:r w:rsidRPr="005F1FAF">
        <w:rPr>
          <w:sz w:val="24"/>
          <w:szCs w:val="24"/>
          <w:lang w:eastAsia="ro-RO"/>
        </w:rPr>
        <w:t xml:space="preserve">care, în forma prezentată, a fost avizat de ministerele interesate </w:t>
      </w:r>
      <w:proofErr w:type="spellStart"/>
      <w:r w:rsidRPr="005F1FAF">
        <w:rPr>
          <w:sz w:val="24"/>
          <w:szCs w:val="24"/>
          <w:lang w:eastAsia="ro-RO"/>
        </w:rPr>
        <w:t>şi</w:t>
      </w:r>
      <w:proofErr w:type="spellEnd"/>
      <w:r w:rsidRPr="005F1FAF">
        <w:rPr>
          <w:sz w:val="24"/>
          <w:szCs w:val="24"/>
          <w:lang w:eastAsia="ro-RO"/>
        </w:rPr>
        <w:t xml:space="preserve"> pe care îl supunem spre aprobare.</w:t>
      </w:r>
    </w:p>
    <w:p w:rsidR="003D0994" w:rsidRPr="005F1FAF" w:rsidRDefault="003D0994" w:rsidP="0067604C">
      <w:pPr>
        <w:jc w:val="both"/>
        <w:rPr>
          <w:bCs/>
          <w:sz w:val="24"/>
          <w:szCs w:val="24"/>
        </w:rPr>
      </w:pPr>
    </w:p>
    <w:p w:rsidR="00814E6F" w:rsidRPr="005F1FAF" w:rsidRDefault="00814E6F" w:rsidP="0067604C">
      <w:pPr>
        <w:jc w:val="both"/>
        <w:rPr>
          <w:bCs/>
          <w:sz w:val="24"/>
          <w:szCs w:val="24"/>
        </w:rPr>
      </w:pPr>
    </w:p>
    <w:p w:rsidR="003D0994" w:rsidRPr="005F1FAF" w:rsidRDefault="003D0994" w:rsidP="0067604C">
      <w:pPr>
        <w:jc w:val="both"/>
        <w:rPr>
          <w:bCs/>
          <w:sz w:val="24"/>
          <w:szCs w:val="24"/>
        </w:rPr>
      </w:pPr>
    </w:p>
    <w:p w:rsidR="00F9149A" w:rsidRPr="005F1FAF" w:rsidRDefault="008973C7" w:rsidP="008973C7">
      <w:pPr>
        <w:shd w:val="clear" w:color="auto" w:fill="FFFFFF"/>
        <w:jc w:val="center"/>
        <w:rPr>
          <w:b/>
          <w:noProof/>
          <w:sz w:val="24"/>
        </w:rPr>
      </w:pPr>
      <w:r w:rsidRPr="005F1FAF">
        <w:rPr>
          <w:b/>
          <w:noProof/>
          <w:sz w:val="24"/>
        </w:rPr>
        <w:t xml:space="preserve">MINISTRUL TRANSPORTURILOR </w:t>
      </w:r>
    </w:p>
    <w:p w:rsidR="008973C7" w:rsidRPr="005F1FAF" w:rsidRDefault="008973C7" w:rsidP="008973C7">
      <w:pPr>
        <w:shd w:val="clear" w:color="auto" w:fill="FFFFFF"/>
        <w:jc w:val="center"/>
        <w:rPr>
          <w:b/>
          <w:noProof/>
          <w:sz w:val="24"/>
        </w:rPr>
      </w:pPr>
      <w:r w:rsidRPr="005F1FAF">
        <w:rPr>
          <w:b/>
          <w:noProof/>
          <w:sz w:val="24"/>
        </w:rPr>
        <w:t xml:space="preserve">ȘI INFRASTRUCTURII </w:t>
      </w:r>
    </w:p>
    <w:p w:rsidR="008973C7" w:rsidRPr="005F1FAF" w:rsidRDefault="008973C7" w:rsidP="008973C7">
      <w:pPr>
        <w:shd w:val="clear" w:color="auto" w:fill="FFFFFF"/>
        <w:jc w:val="center"/>
        <w:rPr>
          <w:b/>
          <w:noProof/>
          <w:sz w:val="14"/>
          <w:szCs w:val="16"/>
        </w:rPr>
      </w:pPr>
    </w:p>
    <w:p w:rsidR="008973C7" w:rsidRPr="005F1FAF" w:rsidRDefault="008973C7" w:rsidP="008973C7">
      <w:pPr>
        <w:shd w:val="clear" w:color="auto" w:fill="FFFFFF"/>
        <w:jc w:val="center"/>
        <w:rPr>
          <w:b/>
          <w:noProof/>
          <w:sz w:val="24"/>
        </w:rPr>
      </w:pPr>
      <w:r w:rsidRPr="005F1FAF">
        <w:rPr>
          <w:b/>
          <w:noProof/>
          <w:sz w:val="24"/>
        </w:rPr>
        <w:t>CĂTĂLIN DRULĂ</w:t>
      </w:r>
    </w:p>
    <w:p w:rsidR="008973C7" w:rsidRPr="005F1FAF" w:rsidRDefault="008973C7" w:rsidP="008973C7">
      <w:pPr>
        <w:jc w:val="center"/>
        <w:rPr>
          <w:b/>
          <w:sz w:val="24"/>
        </w:rPr>
      </w:pPr>
    </w:p>
    <w:p w:rsidR="008973C7" w:rsidRPr="005F1FAF" w:rsidRDefault="008973C7" w:rsidP="008973C7">
      <w:pPr>
        <w:jc w:val="center"/>
        <w:rPr>
          <w:b/>
          <w:sz w:val="24"/>
        </w:rPr>
      </w:pPr>
    </w:p>
    <w:p w:rsidR="008973C7" w:rsidRPr="005F1FAF" w:rsidRDefault="008973C7" w:rsidP="008973C7">
      <w:pPr>
        <w:rPr>
          <w:b/>
          <w:sz w:val="24"/>
        </w:rPr>
      </w:pPr>
    </w:p>
    <w:p w:rsidR="008973C7" w:rsidRPr="005F1FAF" w:rsidRDefault="008973C7" w:rsidP="008973C7">
      <w:pPr>
        <w:jc w:val="center"/>
        <w:rPr>
          <w:b/>
          <w:sz w:val="24"/>
          <w:u w:val="single"/>
        </w:rPr>
      </w:pPr>
    </w:p>
    <w:p w:rsidR="008973C7" w:rsidRPr="005F1FAF" w:rsidRDefault="008973C7" w:rsidP="008973C7">
      <w:pPr>
        <w:jc w:val="center"/>
        <w:rPr>
          <w:b/>
          <w:sz w:val="24"/>
          <w:u w:val="single"/>
        </w:rPr>
      </w:pPr>
    </w:p>
    <w:p w:rsidR="008973C7" w:rsidRPr="005F1FAF" w:rsidRDefault="008973C7" w:rsidP="008973C7">
      <w:pPr>
        <w:jc w:val="center"/>
        <w:rPr>
          <w:b/>
          <w:sz w:val="24"/>
          <w:u w:val="single"/>
        </w:rPr>
      </w:pPr>
    </w:p>
    <w:p w:rsidR="008973C7" w:rsidRPr="005F1FAF" w:rsidRDefault="008973C7" w:rsidP="008973C7">
      <w:pPr>
        <w:jc w:val="center"/>
        <w:rPr>
          <w:b/>
          <w:sz w:val="24"/>
          <w:u w:val="single"/>
        </w:rPr>
      </w:pPr>
      <w:r w:rsidRPr="005F1FAF">
        <w:rPr>
          <w:b/>
          <w:sz w:val="24"/>
          <w:u w:val="single"/>
        </w:rPr>
        <w:t>AVIZĂM:</w:t>
      </w:r>
    </w:p>
    <w:p w:rsidR="008973C7" w:rsidRPr="005F1FAF" w:rsidRDefault="008973C7" w:rsidP="008973C7">
      <w:pPr>
        <w:jc w:val="center"/>
        <w:rPr>
          <w:b/>
          <w:sz w:val="24"/>
          <w:u w:val="single"/>
        </w:rPr>
      </w:pPr>
    </w:p>
    <w:p w:rsidR="008973C7" w:rsidRPr="005F1FAF" w:rsidRDefault="008973C7" w:rsidP="008973C7">
      <w:pPr>
        <w:jc w:val="center"/>
        <w:rPr>
          <w:b/>
          <w:sz w:val="24"/>
        </w:rPr>
      </w:pPr>
      <w:r w:rsidRPr="005F1FAF">
        <w:rPr>
          <w:b/>
          <w:sz w:val="24"/>
        </w:rPr>
        <w:t>VICEPRIM – MINISTRU</w:t>
      </w:r>
    </w:p>
    <w:p w:rsidR="008973C7" w:rsidRPr="005F1FAF" w:rsidRDefault="008973C7" w:rsidP="008973C7">
      <w:pPr>
        <w:jc w:val="center"/>
        <w:rPr>
          <w:b/>
          <w:sz w:val="24"/>
        </w:rPr>
      </w:pPr>
    </w:p>
    <w:p w:rsidR="008973C7" w:rsidRPr="005F1FAF" w:rsidRDefault="008973C7" w:rsidP="008973C7">
      <w:pPr>
        <w:jc w:val="center"/>
        <w:rPr>
          <w:b/>
          <w:sz w:val="24"/>
        </w:rPr>
      </w:pPr>
      <w:r w:rsidRPr="005F1FAF">
        <w:rPr>
          <w:b/>
          <w:sz w:val="24"/>
        </w:rPr>
        <w:t>ILIE-DAN BARNA</w:t>
      </w:r>
    </w:p>
    <w:p w:rsidR="008973C7" w:rsidRPr="005F1FAF" w:rsidRDefault="008973C7" w:rsidP="008973C7">
      <w:pPr>
        <w:jc w:val="center"/>
        <w:rPr>
          <w:b/>
          <w:sz w:val="24"/>
          <w:u w:val="single"/>
        </w:rPr>
      </w:pPr>
    </w:p>
    <w:p w:rsidR="008973C7" w:rsidRPr="005F1FAF" w:rsidRDefault="008973C7" w:rsidP="008973C7">
      <w:pPr>
        <w:jc w:val="center"/>
        <w:rPr>
          <w:b/>
          <w:sz w:val="24"/>
          <w:u w:val="single"/>
        </w:rPr>
      </w:pPr>
    </w:p>
    <w:p w:rsidR="008973C7" w:rsidRPr="005F1FAF" w:rsidRDefault="008973C7" w:rsidP="008973C7">
      <w:pPr>
        <w:jc w:val="center"/>
        <w:rPr>
          <w:b/>
          <w:sz w:val="24"/>
          <w:u w:val="single"/>
        </w:rPr>
      </w:pPr>
    </w:p>
    <w:p w:rsidR="008973C7" w:rsidRPr="005F1FAF" w:rsidRDefault="008973C7" w:rsidP="008973C7">
      <w:pPr>
        <w:jc w:val="center"/>
        <w:rPr>
          <w:b/>
          <w:sz w:val="24"/>
          <w:u w:val="single"/>
        </w:rPr>
      </w:pPr>
    </w:p>
    <w:p w:rsidR="008973C7" w:rsidRPr="005F1FAF" w:rsidRDefault="008973C7" w:rsidP="008973C7">
      <w:pPr>
        <w:jc w:val="center"/>
        <w:rPr>
          <w:b/>
          <w:sz w:val="24"/>
          <w:u w:val="single"/>
        </w:rPr>
      </w:pPr>
    </w:p>
    <w:p w:rsidR="008973C7" w:rsidRPr="005F1FAF" w:rsidRDefault="008973C7" w:rsidP="008973C7">
      <w:pPr>
        <w:jc w:val="center"/>
        <w:rPr>
          <w:b/>
          <w:sz w:val="24"/>
          <w:u w:val="single"/>
        </w:rPr>
      </w:pPr>
    </w:p>
    <w:p w:rsidR="008973C7" w:rsidRPr="005F1FAF" w:rsidRDefault="008973C7" w:rsidP="008973C7">
      <w:pPr>
        <w:jc w:val="center"/>
        <w:rPr>
          <w:b/>
          <w:sz w:val="24"/>
          <w:u w:val="single"/>
        </w:rPr>
      </w:pPr>
    </w:p>
    <w:p w:rsidR="008973C7" w:rsidRPr="005F1FAF" w:rsidRDefault="008973C7" w:rsidP="008973C7">
      <w:pPr>
        <w:jc w:val="center"/>
        <w:rPr>
          <w:b/>
          <w:sz w:val="24"/>
        </w:rPr>
      </w:pPr>
      <w:r w:rsidRPr="005F1FAF">
        <w:rPr>
          <w:b/>
          <w:sz w:val="24"/>
        </w:rPr>
        <w:t xml:space="preserve">MINISTRUL FINANȚELOR </w:t>
      </w:r>
    </w:p>
    <w:p w:rsidR="008973C7" w:rsidRPr="005F1FAF" w:rsidRDefault="008973C7" w:rsidP="008973C7">
      <w:pPr>
        <w:jc w:val="center"/>
        <w:rPr>
          <w:b/>
          <w:sz w:val="24"/>
        </w:rPr>
      </w:pPr>
    </w:p>
    <w:p w:rsidR="008973C7" w:rsidRPr="005F1FAF" w:rsidRDefault="008973C7" w:rsidP="008973C7">
      <w:pPr>
        <w:jc w:val="center"/>
        <w:rPr>
          <w:b/>
          <w:sz w:val="24"/>
        </w:rPr>
      </w:pPr>
      <w:r w:rsidRPr="005F1FAF">
        <w:rPr>
          <w:b/>
          <w:sz w:val="24"/>
        </w:rPr>
        <w:t>ALEXANDRU NAZARE</w:t>
      </w:r>
    </w:p>
    <w:p w:rsidR="008973C7" w:rsidRPr="005F1FAF" w:rsidRDefault="008973C7" w:rsidP="008973C7">
      <w:pPr>
        <w:jc w:val="center"/>
        <w:rPr>
          <w:b/>
          <w:sz w:val="24"/>
          <w:u w:val="single"/>
        </w:rPr>
      </w:pPr>
    </w:p>
    <w:p w:rsidR="008973C7" w:rsidRPr="005F1FAF" w:rsidRDefault="008973C7" w:rsidP="008973C7">
      <w:pPr>
        <w:jc w:val="center"/>
        <w:rPr>
          <w:b/>
          <w:sz w:val="24"/>
          <w:u w:val="single"/>
        </w:rPr>
      </w:pPr>
    </w:p>
    <w:p w:rsidR="008973C7" w:rsidRPr="005F1FAF" w:rsidRDefault="008973C7" w:rsidP="008973C7">
      <w:pPr>
        <w:jc w:val="center"/>
        <w:rPr>
          <w:b/>
          <w:sz w:val="24"/>
          <w:u w:val="single"/>
        </w:rPr>
      </w:pPr>
    </w:p>
    <w:p w:rsidR="008973C7" w:rsidRPr="005F1FAF" w:rsidRDefault="008973C7" w:rsidP="008973C7">
      <w:pPr>
        <w:jc w:val="center"/>
        <w:rPr>
          <w:b/>
          <w:sz w:val="24"/>
          <w:u w:val="single"/>
        </w:rPr>
      </w:pPr>
    </w:p>
    <w:p w:rsidR="008973C7" w:rsidRPr="005F1FAF" w:rsidRDefault="008973C7" w:rsidP="008973C7">
      <w:pPr>
        <w:jc w:val="center"/>
        <w:rPr>
          <w:b/>
          <w:sz w:val="24"/>
          <w:u w:val="single"/>
        </w:rPr>
      </w:pPr>
    </w:p>
    <w:p w:rsidR="008973C7" w:rsidRPr="005F1FAF" w:rsidRDefault="008973C7" w:rsidP="008973C7">
      <w:pPr>
        <w:jc w:val="center"/>
        <w:rPr>
          <w:b/>
          <w:sz w:val="24"/>
          <w:u w:val="single"/>
        </w:rPr>
      </w:pPr>
    </w:p>
    <w:p w:rsidR="008973C7" w:rsidRPr="005F1FAF" w:rsidRDefault="008973C7" w:rsidP="008973C7">
      <w:pPr>
        <w:jc w:val="center"/>
        <w:rPr>
          <w:b/>
          <w:sz w:val="24"/>
          <w:u w:val="single"/>
        </w:rPr>
      </w:pPr>
    </w:p>
    <w:p w:rsidR="008973C7" w:rsidRPr="005F1FAF" w:rsidRDefault="008973C7" w:rsidP="008973C7">
      <w:pPr>
        <w:jc w:val="center"/>
        <w:rPr>
          <w:b/>
          <w:sz w:val="24"/>
          <w:u w:val="single"/>
        </w:rPr>
      </w:pPr>
    </w:p>
    <w:p w:rsidR="008973C7" w:rsidRPr="005F1FAF" w:rsidRDefault="008973C7" w:rsidP="008973C7">
      <w:pPr>
        <w:jc w:val="center"/>
        <w:rPr>
          <w:b/>
          <w:sz w:val="24"/>
          <w:u w:val="single"/>
        </w:rPr>
      </w:pPr>
    </w:p>
    <w:p w:rsidR="008973C7" w:rsidRPr="005F1FAF" w:rsidRDefault="008973C7" w:rsidP="008973C7">
      <w:pPr>
        <w:jc w:val="center"/>
        <w:rPr>
          <w:b/>
          <w:bCs/>
          <w:sz w:val="24"/>
        </w:rPr>
      </w:pPr>
      <w:r w:rsidRPr="005F1FAF">
        <w:rPr>
          <w:b/>
          <w:bCs/>
          <w:sz w:val="24"/>
        </w:rPr>
        <w:t>MINISTRUL JUSTIŢIEI</w:t>
      </w:r>
    </w:p>
    <w:p w:rsidR="008973C7" w:rsidRPr="005F1FAF" w:rsidRDefault="008973C7" w:rsidP="008973C7">
      <w:pPr>
        <w:jc w:val="center"/>
        <w:rPr>
          <w:b/>
          <w:sz w:val="24"/>
          <w:u w:val="single"/>
        </w:rPr>
      </w:pPr>
    </w:p>
    <w:p w:rsidR="008973C7" w:rsidRPr="005F1FAF" w:rsidRDefault="008973C7" w:rsidP="008973C7">
      <w:pPr>
        <w:jc w:val="center"/>
        <w:rPr>
          <w:b/>
          <w:sz w:val="24"/>
          <w:lang w:val="en-US"/>
        </w:rPr>
      </w:pPr>
      <w:r w:rsidRPr="005F1FAF">
        <w:rPr>
          <w:b/>
          <w:sz w:val="24"/>
        </w:rPr>
        <w:t>STELIAN-CRISTIAN ION</w:t>
      </w:r>
    </w:p>
    <w:p w:rsidR="003D0994" w:rsidRPr="005F1FAF" w:rsidRDefault="003D0994" w:rsidP="003D0994">
      <w:pPr>
        <w:jc w:val="center"/>
        <w:rPr>
          <w:b/>
          <w:sz w:val="24"/>
          <w:szCs w:val="24"/>
        </w:rPr>
      </w:pPr>
    </w:p>
    <w:p w:rsidR="003D0994" w:rsidRPr="005F1FAF" w:rsidRDefault="003D0994" w:rsidP="003D0994">
      <w:pPr>
        <w:jc w:val="center"/>
        <w:rPr>
          <w:b/>
          <w:sz w:val="24"/>
          <w:szCs w:val="24"/>
        </w:rPr>
      </w:pPr>
    </w:p>
    <w:p w:rsidR="003D0994" w:rsidRPr="005F1FAF" w:rsidRDefault="003D0994" w:rsidP="003D0994">
      <w:pPr>
        <w:jc w:val="center"/>
        <w:rPr>
          <w:b/>
          <w:sz w:val="24"/>
          <w:szCs w:val="24"/>
        </w:rPr>
      </w:pPr>
    </w:p>
    <w:p w:rsidR="003D0994" w:rsidRPr="005F1FAF" w:rsidRDefault="003D0994" w:rsidP="003D0994">
      <w:pPr>
        <w:jc w:val="center"/>
        <w:rPr>
          <w:b/>
        </w:rPr>
      </w:pPr>
    </w:p>
    <w:p w:rsidR="003D0994" w:rsidRPr="005F1FAF" w:rsidRDefault="003D0994" w:rsidP="003D0994">
      <w:pPr>
        <w:jc w:val="center"/>
        <w:rPr>
          <w:b/>
        </w:rPr>
      </w:pPr>
    </w:p>
    <w:p w:rsidR="003D0994" w:rsidRPr="005F1FAF" w:rsidRDefault="003D0994" w:rsidP="003D0994">
      <w:pPr>
        <w:jc w:val="center"/>
        <w:rPr>
          <w:b/>
        </w:rPr>
      </w:pPr>
    </w:p>
    <w:p w:rsidR="003D0994" w:rsidRPr="005F1FAF" w:rsidRDefault="003D0994" w:rsidP="003D0994">
      <w:pPr>
        <w:jc w:val="center"/>
        <w:rPr>
          <w:b/>
        </w:rPr>
      </w:pPr>
    </w:p>
    <w:p w:rsidR="001B20BD" w:rsidRPr="00DD098F" w:rsidRDefault="001B20BD" w:rsidP="00290A45">
      <w:pPr>
        <w:shd w:val="clear" w:color="auto" w:fill="FFFFFF"/>
        <w:jc w:val="both"/>
        <w:rPr>
          <w:b/>
          <w:bCs/>
          <w:sz w:val="24"/>
          <w:szCs w:val="24"/>
        </w:rPr>
      </w:pPr>
      <w:bookmarkStart w:id="6" w:name="_GoBack"/>
      <w:bookmarkEnd w:id="6"/>
    </w:p>
    <w:sectPr w:rsidR="001B20BD" w:rsidRPr="00DD098F" w:rsidSect="00FB3E1B">
      <w:footerReference w:type="even" r:id="rId12"/>
      <w:footerReference w:type="default" r:id="rId13"/>
      <w:pgSz w:w="11907" w:h="16840" w:code="9"/>
      <w:pgMar w:top="270" w:right="1134" w:bottom="540" w:left="1300" w:header="284"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55D" w:rsidRDefault="00BD355D" w:rsidP="00982B97">
      <w:r>
        <w:separator/>
      </w:r>
    </w:p>
  </w:endnote>
  <w:endnote w:type="continuationSeparator" w:id="0">
    <w:p w:rsidR="00BD355D" w:rsidRDefault="00BD355D" w:rsidP="0098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R">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D76" w:rsidRDefault="008E6D76" w:rsidP="009E61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6D76" w:rsidRDefault="008E6D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D76" w:rsidRPr="00792FAE" w:rsidRDefault="008E6D76">
    <w:pPr>
      <w:pStyle w:val="Footer"/>
      <w:jc w:val="center"/>
      <w:rPr>
        <w:sz w:val="24"/>
        <w:szCs w:val="24"/>
      </w:rPr>
    </w:pPr>
    <w:r w:rsidRPr="00792FAE">
      <w:rPr>
        <w:sz w:val="24"/>
        <w:szCs w:val="24"/>
      </w:rPr>
      <w:fldChar w:fldCharType="begin"/>
    </w:r>
    <w:r w:rsidRPr="00792FAE">
      <w:rPr>
        <w:sz w:val="24"/>
        <w:szCs w:val="24"/>
      </w:rPr>
      <w:instrText xml:space="preserve"> PAGE   \* MERGEFORMAT </w:instrText>
    </w:r>
    <w:r w:rsidRPr="00792FAE">
      <w:rPr>
        <w:sz w:val="24"/>
        <w:szCs w:val="24"/>
      </w:rPr>
      <w:fldChar w:fldCharType="separate"/>
    </w:r>
    <w:r w:rsidR="00290A45">
      <w:rPr>
        <w:noProof/>
        <w:sz w:val="24"/>
        <w:szCs w:val="24"/>
      </w:rPr>
      <w:t>11</w:t>
    </w:r>
    <w:r w:rsidRPr="00792FAE">
      <w:rPr>
        <w:noProof/>
        <w:sz w:val="24"/>
        <w:szCs w:val="24"/>
      </w:rPr>
      <w:fldChar w:fldCharType="end"/>
    </w:r>
  </w:p>
  <w:p w:rsidR="008E6D76" w:rsidRDefault="008E6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55D" w:rsidRDefault="00BD355D" w:rsidP="00982B97">
      <w:r>
        <w:separator/>
      </w:r>
    </w:p>
  </w:footnote>
  <w:footnote w:type="continuationSeparator" w:id="0">
    <w:p w:rsidR="00BD355D" w:rsidRDefault="00BD355D" w:rsidP="00982B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33FFC"/>
    <w:multiLevelType w:val="hybridMultilevel"/>
    <w:tmpl w:val="6E6EEC4A"/>
    <w:lvl w:ilvl="0" w:tplc="5BBA721A">
      <w:start w:val="1"/>
      <w:numFmt w:val="upperLetter"/>
      <w:lvlText w:val="%1)"/>
      <w:lvlJc w:val="left"/>
      <w:pPr>
        <w:ind w:left="961" w:hanging="360"/>
      </w:pPr>
      <w:rPr>
        <w:b/>
      </w:rPr>
    </w:lvl>
    <w:lvl w:ilvl="1" w:tplc="04090019">
      <w:start w:val="1"/>
      <w:numFmt w:val="lowerLetter"/>
      <w:lvlText w:val="%2."/>
      <w:lvlJc w:val="left"/>
      <w:pPr>
        <w:ind w:left="1681" w:hanging="360"/>
      </w:pPr>
    </w:lvl>
    <w:lvl w:ilvl="2" w:tplc="0409001B">
      <w:start w:val="1"/>
      <w:numFmt w:val="lowerRoman"/>
      <w:lvlText w:val="%3."/>
      <w:lvlJc w:val="right"/>
      <w:pPr>
        <w:ind w:left="2401" w:hanging="180"/>
      </w:pPr>
    </w:lvl>
    <w:lvl w:ilvl="3" w:tplc="0409000F">
      <w:start w:val="1"/>
      <w:numFmt w:val="decimal"/>
      <w:lvlText w:val="%4."/>
      <w:lvlJc w:val="left"/>
      <w:pPr>
        <w:ind w:left="3121" w:hanging="360"/>
      </w:pPr>
    </w:lvl>
    <w:lvl w:ilvl="4" w:tplc="04090019">
      <w:start w:val="1"/>
      <w:numFmt w:val="lowerLetter"/>
      <w:lvlText w:val="%5."/>
      <w:lvlJc w:val="left"/>
      <w:pPr>
        <w:ind w:left="3841" w:hanging="360"/>
      </w:pPr>
    </w:lvl>
    <w:lvl w:ilvl="5" w:tplc="0409001B">
      <w:start w:val="1"/>
      <w:numFmt w:val="lowerRoman"/>
      <w:lvlText w:val="%6."/>
      <w:lvlJc w:val="right"/>
      <w:pPr>
        <w:ind w:left="4561" w:hanging="180"/>
      </w:pPr>
    </w:lvl>
    <w:lvl w:ilvl="6" w:tplc="0409000F">
      <w:start w:val="1"/>
      <w:numFmt w:val="decimal"/>
      <w:lvlText w:val="%7."/>
      <w:lvlJc w:val="left"/>
      <w:pPr>
        <w:ind w:left="5281" w:hanging="360"/>
      </w:pPr>
    </w:lvl>
    <w:lvl w:ilvl="7" w:tplc="04090019">
      <w:start w:val="1"/>
      <w:numFmt w:val="lowerLetter"/>
      <w:lvlText w:val="%8."/>
      <w:lvlJc w:val="left"/>
      <w:pPr>
        <w:ind w:left="6001" w:hanging="360"/>
      </w:pPr>
    </w:lvl>
    <w:lvl w:ilvl="8" w:tplc="0409001B">
      <w:start w:val="1"/>
      <w:numFmt w:val="lowerRoman"/>
      <w:lvlText w:val="%9."/>
      <w:lvlJc w:val="right"/>
      <w:pPr>
        <w:ind w:left="6721" w:hanging="180"/>
      </w:pPr>
    </w:lvl>
  </w:abstractNum>
  <w:abstractNum w:abstractNumId="1" w15:restartNumberingAfterBreak="0">
    <w:nsid w:val="144C490F"/>
    <w:multiLevelType w:val="hybridMultilevel"/>
    <w:tmpl w:val="2E700304"/>
    <w:lvl w:ilvl="0" w:tplc="E8C6AF5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2C2E8D"/>
    <w:multiLevelType w:val="hybridMultilevel"/>
    <w:tmpl w:val="297259D0"/>
    <w:lvl w:ilvl="0" w:tplc="1EB44378">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C336F"/>
    <w:multiLevelType w:val="hybridMultilevel"/>
    <w:tmpl w:val="E3585490"/>
    <w:lvl w:ilvl="0" w:tplc="4EE2864E">
      <w:start w:val="1"/>
      <w:numFmt w:val="lowerLetter"/>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4" w15:restartNumberingAfterBreak="0">
    <w:nsid w:val="23913B65"/>
    <w:multiLevelType w:val="hybridMultilevel"/>
    <w:tmpl w:val="5E16F684"/>
    <w:lvl w:ilvl="0" w:tplc="D804B0E4">
      <w:start w:val="3"/>
      <w:numFmt w:val="upperLetter"/>
      <w:lvlText w:val="%1)"/>
      <w:lvlJc w:val="left"/>
      <w:pPr>
        <w:ind w:left="961" w:hanging="360"/>
      </w:pPr>
      <w:rPr>
        <w:b/>
        <w:color w:val="auto"/>
      </w:rPr>
    </w:lvl>
    <w:lvl w:ilvl="1" w:tplc="04090019">
      <w:start w:val="1"/>
      <w:numFmt w:val="lowerLetter"/>
      <w:lvlText w:val="%2."/>
      <w:lvlJc w:val="left"/>
      <w:pPr>
        <w:ind w:left="1681" w:hanging="360"/>
      </w:pPr>
    </w:lvl>
    <w:lvl w:ilvl="2" w:tplc="0409001B">
      <w:start w:val="1"/>
      <w:numFmt w:val="lowerRoman"/>
      <w:lvlText w:val="%3."/>
      <w:lvlJc w:val="right"/>
      <w:pPr>
        <w:ind w:left="2401" w:hanging="180"/>
      </w:pPr>
    </w:lvl>
    <w:lvl w:ilvl="3" w:tplc="0409000F">
      <w:start w:val="1"/>
      <w:numFmt w:val="decimal"/>
      <w:lvlText w:val="%4."/>
      <w:lvlJc w:val="left"/>
      <w:pPr>
        <w:ind w:left="3121" w:hanging="360"/>
      </w:pPr>
    </w:lvl>
    <w:lvl w:ilvl="4" w:tplc="04090019">
      <w:start w:val="1"/>
      <w:numFmt w:val="lowerLetter"/>
      <w:lvlText w:val="%5."/>
      <w:lvlJc w:val="left"/>
      <w:pPr>
        <w:ind w:left="3841" w:hanging="360"/>
      </w:pPr>
    </w:lvl>
    <w:lvl w:ilvl="5" w:tplc="0409001B">
      <w:start w:val="1"/>
      <w:numFmt w:val="lowerRoman"/>
      <w:lvlText w:val="%6."/>
      <w:lvlJc w:val="right"/>
      <w:pPr>
        <w:ind w:left="4561" w:hanging="180"/>
      </w:pPr>
    </w:lvl>
    <w:lvl w:ilvl="6" w:tplc="0409000F">
      <w:start w:val="1"/>
      <w:numFmt w:val="decimal"/>
      <w:lvlText w:val="%7."/>
      <w:lvlJc w:val="left"/>
      <w:pPr>
        <w:ind w:left="5281" w:hanging="360"/>
      </w:pPr>
    </w:lvl>
    <w:lvl w:ilvl="7" w:tplc="04090019">
      <w:start w:val="1"/>
      <w:numFmt w:val="lowerLetter"/>
      <w:lvlText w:val="%8."/>
      <w:lvlJc w:val="left"/>
      <w:pPr>
        <w:ind w:left="6001" w:hanging="360"/>
      </w:pPr>
    </w:lvl>
    <w:lvl w:ilvl="8" w:tplc="0409001B">
      <w:start w:val="1"/>
      <w:numFmt w:val="lowerRoman"/>
      <w:lvlText w:val="%9."/>
      <w:lvlJc w:val="right"/>
      <w:pPr>
        <w:ind w:left="6721" w:hanging="180"/>
      </w:pPr>
    </w:lvl>
  </w:abstractNum>
  <w:abstractNum w:abstractNumId="5" w15:restartNumberingAfterBreak="0">
    <w:nsid w:val="30137BAB"/>
    <w:multiLevelType w:val="hybridMultilevel"/>
    <w:tmpl w:val="8F0A180E"/>
    <w:lvl w:ilvl="0" w:tplc="9578C6DC">
      <w:start w:val="2"/>
      <w:numFmt w:val="lowerLetter"/>
      <w:lvlText w:val="%1)"/>
      <w:lvlJc w:val="left"/>
      <w:pPr>
        <w:ind w:left="1462" w:hanging="360"/>
      </w:pPr>
      <w:rPr>
        <w:rFonts w:hint="default"/>
      </w:rPr>
    </w:lvl>
    <w:lvl w:ilvl="1" w:tplc="04090019" w:tentative="1">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6" w15:restartNumberingAfterBreak="0">
    <w:nsid w:val="341B37AB"/>
    <w:multiLevelType w:val="hybridMultilevel"/>
    <w:tmpl w:val="5D946350"/>
    <w:lvl w:ilvl="0" w:tplc="B68A4EB8">
      <w:start w:val="23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E7784"/>
    <w:multiLevelType w:val="hybridMultilevel"/>
    <w:tmpl w:val="51C8E062"/>
    <w:lvl w:ilvl="0" w:tplc="8CC62738">
      <w:start w:val="1"/>
      <w:numFmt w:val="lowerLetter"/>
      <w:lvlText w:val="%1)"/>
      <w:lvlJc w:val="left"/>
      <w:pPr>
        <w:ind w:left="961" w:hanging="360"/>
      </w:pPr>
      <w:rPr>
        <w:rFonts w:ascii="Times New Roman" w:eastAsia="Times New Roman" w:hAnsi="Times New Roman" w:cs="Times New Roman"/>
        <w:b/>
      </w:rPr>
    </w:lvl>
    <w:lvl w:ilvl="1" w:tplc="04090019">
      <w:start w:val="1"/>
      <w:numFmt w:val="lowerLetter"/>
      <w:lvlText w:val="%2."/>
      <w:lvlJc w:val="left"/>
      <w:pPr>
        <w:ind w:left="1681" w:hanging="360"/>
      </w:pPr>
    </w:lvl>
    <w:lvl w:ilvl="2" w:tplc="0409001B">
      <w:start w:val="1"/>
      <w:numFmt w:val="lowerRoman"/>
      <w:lvlText w:val="%3."/>
      <w:lvlJc w:val="right"/>
      <w:pPr>
        <w:ind w:left="2401" w:hanging="180"/>
      </w:pPr>
    </w:lvl>
    <w:lvl w:ilvl="3" w:tplc="0409000F">
      <w:start w:val="1"/>
      <w:numFmt w:val="decimal"/>
      <w:lvlText w:val="%4."/>
      <w:lvlJc w:val="left"/>
      <w:pPr>
        <w:ind w:left="3121" w:hanging="360"/>
      </w:pPr>
    </w:lvl>
    <w:lvl w:ilvl="4" w:tplc="04090019">
      <w:start w:val="1"/>
      <w:numFmt w:val="lowerLetter"/>
      <w:lvlText w:val="%5."/>
      <w:lvlJc w:val="left"/>
      <w:pPr>
        <w:ind w:left="3841" w:hanging="360"/>
      </w:pPr>
    </w:lvl>
    <w:lvl w:ilvl="5" w:tplc="0409001B">
      <w:start w:val="1"/>
      <w:numFmt w:val="lowerRoman"/>
      <w:lvlText w:val="%6."/>
      <w:lvlJc w:val="right"/>
      <w:pPr>
        <w:ind w:left="4561" w:hanging="180"/>
      </w:pPr>
    </w:lvl>
    <w:lvl w:ilvl="6" w:tplc="0409000F">
      <w:start w:val="1"/>
      <w:numFmt w:val="decimal"/>
      <w:lvlText w:val="%7."/>
      <w:lvlJc w:val="left"/>
      <w:pPr>
        <w:ind w:left="5281" w:hanging="360"/>
      </w:pPr>
    </w:lvl>
    <w:lvl w:ilvl="7" w:tplc="04090019">
      <w:start w:val="1"/>
      <w:numFmt w:val="lowerLetter"/>
      <w:lvlText w:val="%8."/>
      <w:lvlJc w:val="left"/>
      <w:pPr>
        <w:ind w:left="6001" w:hanging="360"/>
      </w:pPr>
    </w:lvl>
    <w:lvl w:ilvl="8" w:tplc="0409001B">
      <w:start w:val="1"/>
      <w:numFmt w:val="lowerRoman"/>
      <w:lvlText w:val="%9."/>
      <w:lvlJc w:val="right"/>
      <w:pPr>
        <w:ind w:left="6721" w:hanging="180"/>
      </w:pPr>
    </w:lvl>
  </w:abstractNum>
  <w:abstractNum w:abstractNumId="8" w15:restartNumberingAfterBreak="0">
    <w:nsid w:val="3B0738B5"/>
    <w:multiLevelType w:val="hybridMultilevel"/>
    <w:tmpl w:val="B416483C"/>
    <w:lvl w:ilvl="0" w:tplc="1EB44378">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6F0905"/>
    <w:multiLevelType w:val="hybridMultilevel"/>
    <w:tmpl w:val="10B0B480"/>
    <w:lvl w:ilvl="0" w:tplc="11A8C90E">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B11109"/>
    <w:multiLevelType w:val="hybridMultilevel"/>
    <w:tmpl w:val="C2C0F132"/>
    <w:lvl w:ilvl="0" w:tplc="CCFEBED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DA64DA"/>
    <w:multiLevelType w:val="hybridMultilevel"/>
    <w:tmpl w:val="E9145D16"/>
    <w:lvl w:ilvl="0" w:tplc="600C0890">
      <w:start w:val="1"/>
      <w:numFmt w:val="decimal"/>
      <w:lvlText w:val="%1."/>
      <w:lvlJc w:val="left"/>
      <w:pPr>
        <w:ind w:left="1150" w:hanging="360"/>
      </w:pPr>
      <w:rPr>
        <w:rFonts w:hint="default"/>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12" w15:restartNumberingAfterBreak="0">
    <w:nsid w:val="65122FFE"/>
    <w:multiLevelType w:val="hybridMultilevel"/>
    <w:tmpl w:val="C544382A"/>
    <w:lvl w:ilvl="0" w:tplc="2EEA3B8A">
      <w:start w:val="1"/>
      <w:numFmt w:val="decimal"/>
      <w:lvlText w:val="%1."/>
      <w:lvlJc w:val="left"/>
      <w:pPr>
        <w:ind w:left="1102" w:hanging="360"/>
      </w:pPr>
      <w:rPr>
        <w:rFonts w:hint="default"/>
        <w:b/>
        <w:color w:val="auto"/>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13" w15:restartNumberingAfterBreak="0">
    <w:nsid w:val="69EB1B7B"/>
    <w:multiLevelType w:val="hybridMultilevel"/>
    <w:tmpl w:val="66A67CB6"/>
    <w:lvl w:ilvl="0" w:tplc="8B96A070">
      <w:numFmt w:val="bullet"/>
      <w:lvlText w:val="-"/>
      <w:lvlJc w:val="left"/>
      <w:pPr>
        <w:ind w:left="1602" w:hanging="360"/>
      </w:pPr>
      <w:rPr>
        <w:rFonts w:ascii="Times New Roman" w:eastAsia="Times New Roman" w:hAnsi="Times New Roman" w:cs="Times New Roman" w:hint="default"/>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14" w15:restartNumberingAfterBreak="0">
    <w:nsid w:val="789F43BB"/>
    <w:multiLevelType w:val="hybridMultilevel"/>
    <w:tmpl w:val="C2C0F132"/>
    <w:lvl w:ilvl="0" w:tplc="CCFEBED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6851FC"/>
    <w:multiLevelType w:val="hybridMultilevel"/>
    <w:tmpl w:val="7F60F35A"/>
    <w:lvl w:ilvl="0" w:tplc="B1EADAB2">
      <w:start w:val="237"/>
      <w:numFmt w:val="bullet"/>
      <w:lvlText w:val="-"/>
      <w:lvlJc w:val="left"/>
      <w:pPr>
        <w:ind w:left="1125" w:hanging="360"/>
      </w:pPr>
      <w:rPr>
        <w:rFonts w:ascii="Calibri" w:eastAsia="Times New Roman"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6" w15:restartNumberingAfterBreak="0">
    <w:nsid w:val="7CA526D7"/>
    <w:multiLevelType w:val="hybridMultilevel"/>
    <w:tmpl w:val="0FCA3D7C"/>
    <w:lvl w:ilvl="0" w:tplc="486CCCCE">
      <w:start w:val="1"/>
      <w:numFmt w:val="decimal"/>
      <w:lvlText w:val="%1)"/>
      <w:lvlJc w:val="left"/>
      <w:pPr>
        <w:ind w:left="1542" w:hanging="930"/>
      </w:pPr>
      <w:rPr>
        <w:b w:val="0"/>
      </w:rPr>
    </w:lvl>
    <w:lvl w:ilvl="1" w:tplc="04090019">
      <w:start w:val="1"/>
      <w:numFmt w:val="lowerLetter"/>
      <w:lvlText w:val="%2."/>
      <w:lvlJc w:val="left"/>
      <w:pPr>
        <w:ind w:left="1692" w:hanging="360"/>
      </w:pPr>
    </w:lvl>
    <w:lvl w:ilvl="2" w:tplc="0409001B">
      <w:start w:val="1"/>
      <w:numFmt w:val="lowerRoman"/>
      <w:lvlText w:val="%3."/>
      <w:lvlJc w:val="right"/>
      <w:pPr>
        <w:ind w:left="2412" w:hanging="180"/>
      </w:pPr>
    </w:lvl>
    <w:lvl w:ilvl="3" w:tplc="0409000F">
      <w:start w:val="1"/>
      <w:numFmt w:val="decimal"/>
      <w:lvlText w:val="%4."/>
      <w:lvlJc w:val="left"/>
      <w:pPr>
        <w:ind w:left="3132" w:hanging="360"/>
      </w:pPr>
    </w:lvl>
    <w:lvl w:ilvl="4" w:tplc="04090019">
      <w:start w:val="1"/>
      <w:numFmt w:val="lowerLetter"/>
      <w:lvlText w:val="%5."/>
      <w:lvlJc w:val="left"/>
      <w:pPr>
        <w:ind w:left="3852" w:hanging="360"/>
      </w:pPr>
    </w:lvl>
    <w:lvl w:ilvl="5" w:tplc="0409001B">
      <w:start w:val="1"/>
      <w:numFmt w:val="lowerRoman"/>
      <w:lvlText w:val="%6."/>
      <w:lvlJc w:val="right"/>
      <w:pPr>
        <w:ind w:left="4572" w:hanging="180"/>
      </w:pPr>
    </w:lvl>
    <w:lvl w:ilvl="6" w:tplc="0409000F">
      <w:start w:val="1"/>
      <w:numFmt w:val="decimal"/>
      <w:lvlText w:val="%7."/>
      <w:lvlJc w:val="left"/>
      <w:pPr>
        <w:ind w:left="5292" w:hanging="360"/>
      </w:pPr>
    </w:lvl>
    <w:lvl w:ilvl="7" w:tplc="04090019">
      <w:start w:val="1"/>
      <w:numFmt w:val="lowerLetter"/>
      <w:lvlText w:val="%8."/>
      <w:lvlJc w:val="left"/>
      <w:pPr>
        <w:ind w:left="6012" w:hanging="360"/>
      </w:pPr>
    </w:lvl>
    <w:lvl w:ilvl="8" w:tplc="0409001B">
      <w:start w:val="1"/>
      <w:numFmt w:val="lowerRoman"/>
      <w:lvlText w:val="%9."/>
      <w:lvlJc w:val="right"/>
      <w:pPr>
        <w:ind w:left="6732" w:hanging="180"/>
      </w:pPr>
    </w:lvl>
  </w:abstractNum>
  <w:abstractNum w:abstractNumId="17" w15:restartNumberingAfterBreak="0">
    <w:nsid w:val="7CE068A0"/>
    <w:multiLevelType w:val="hybridMultilevel"/>
    <w:tmpl w:val="B7E66B62"/>
    <w:lvl w:ilvl="0" w:tplc="FC9CA956">
      <w:start w:val="3"/>
      <w:numFmt w:val="lowerLetter"/>
      <w:lvlText w:val="%1)"/>
      <w:lvlJc w:val="left"/>
      <w:pPr>
        <w:ind w:left="1462" w:hanging="360"/>
      </w:pPr>
      <w:rPr>
        <w:rFonts w:hint="default"/>
        <w:b/>
      </w:rPr>
    </w:lvl>
    <w:lvl w:ilvl="1" w:tplc="04090019" w:tentative="1">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8"/>
  </w:num>
  <w:num w:numId="5">
    <w:abstractNumId w:val="6"/>
  </w:num>
  <w:num w:numId="6">
    <w:abstractNumId w:val="15"/>
  </w:num>
  <w:num w:numId="7">
    <w:abstractNumId w:val="9"/>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4"/>
  </w:num>
  <w:num w:numId="15">
    <w:abstractNumId w:val="11"/>
  </w:num>
  <w:num w:numId="16">
    <w:abstractNumId w:val="7"/>
  </w:num>
  <w:num w:numId="17">
    <w:abstractNumId w:val="4"/>
  </w:num>
  <w:num w:numId="18">
    <w:abstractNumId w:val="0"/>
  </w:num>
  <w:num w:numId="19">
    <w:abstractNumId w:val="10"/>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7A"/>
    <w:rsid w:val="00003D15"/>
    <w:rsid w:val="00005B1D"/>
    <w:rsid w:val="0000650E"/>
    <w:rsid w:val="00013CCC"/>
    <w:rsid w:val="000200AB"/>
    <w:rsid w:val="000238C2"/>
    <w:rsid w:val="00025C39"/>
    <w:rsid w:val="000349DD"/>
    <w:rsid w:val="00036592"/>
    <w:rsid w:val="00037742"/>
    <w:rsid w:val="00040654"/>
    <w:rsid w:val="000438AD"/>
    <w:rsid w:val="000527E5"/>
    <w:rsid w:val="000641F3"/>
    <w:rsid w:val="00064A61"/>
    <w:rsid w:val="00065449"/>
    <w:rsid w:val="000767A7"/>
    <w:rsid w:val="00082E5A"/>
    <w:rsid w:val="00083C9A"/>
    <w:rsid w:val="00086A7E"/>
    <w:rsid w:val="0009469F"/>
    <w:rsid w:val="000A3AC5"/>
    <w:rsid w:val="000A4648"/>
    <w:rsid w:val="000B0D1B"/>
    <w:rsid w:val="000B5969"/>
    <w:rsid w:val="000C4415"/>
    <w:rsid w:val="000D0764"/>
    <w:rsid w:val="000D63BE"/>
    <w:rsid w:val="000E5E1E"/>
    <w:rsid w:val="000E7806"/>
    <w:rsid w:val="000F1618"/>
    <w:rsid w:val="000F1783"/>
    <w:rsid w:val="000F44E3"/>
    <w:rsid w:val="00102D45"/>
    <w:rsid w:val="00107308"/>
    <w:rsid w:val="00111946"/>
    <w:rsid w:val="0011456C"/>
    <w:rsid w:val="00120866"/>
    <w:rsid w:val="00124A77"/>
    <w:rsid w:val="001320A3"/>
    <w:rsid w:val="00154EF7"/>
    <w:rsid w:val="0015501E"/>
    <w:rsid w:val="00155AB8"/>
    <w:rsid w:val="00156584"/>
    <w:rsid w:val="00163B45"/>
    <w:rsid w:val="00164AE9"/>
    <w:rsid w:val="00173D3B"/>
    <w:rsid w:val="00177A12"/>
    <w:rsid w:val="00184FA2"/>
    <w:rsid w:val="0018566E"/>
    <w:rsid w:val="00186D5B"/>
    <w:rsid w:val="00187940"/>
    <w:rsid w:val="00190745"/>
    <w:rsid w:val="001974AE"/>
    <w:rsid w:val="001B09D6"/>
    <w:rsid w:val="001B20BD"/>
    <w:rsid w:val="001C3EE3"/>
    <w:rsid w:val="001D067A"/>
    <w:rsid w:val="001D4409"/>
    <w:rsid w:val="001E04F0"/>
    <w:rsid w:val="001E0FE3"/>
    <w:rsid w:val="001E12B9"/>
    <w:rsid w:val="001E2BFE"/>
    <w:rsid w:val="001E78CB"/>
    <w:rsid w:val="001E7E56"/>
    <w:rsid w:val="001F1B15"/>
    <w:rsid w:val="001F3630"/>
    <w:rsid w:val="001F432B"/>
    <w:rsid w:val="001F4B7C"/>
    <w:rsid w:val="00201A7F"/>
    <w:rsid w:val="00201B9F"/>
    <w:rsid w:val="002054D6"/>
    <w:rsid w:val="00216742"/>
    <w:rsid w:val="00223117"/>
    <w:rsid w:val="00235E85"/>
    <w:rsid w:val="00242C36"/>
    <w:rsid w:val="002450B7"/>
    <w:rsid w:val="00246CEE"/>
    <w:rsid w:val="00246E41"/>
    <w:rsid w:val="002525F8"/>
    <w:rsid w:val="00252F1E"/>
    <w:rsid w:val="0025344D"/>
    <w:rsid w:val="00253BB3"/>
    <w:rsid w:val="00253FED"/>
    <w:rsid w:val="00254289"/>
    <w:rsid w:val="00254F17"/>
    <w:rsid w:val="00262DB7"/>
    <w:rsid w:val="0026489C"/>
    <w:rsid w:val="0026675A"/>
    <w:rsid w:val="00273C12"/>
    <w:rsid w:val="00274D1B"/>
    <w:rsid w:val="00276285"/>
    <w:rsid w:val="00276690"/>
    <w:rsid w:val="00280E72"/>
    <w:rsid w:val="00284708"/>
    <w:rsid w:val="00285AD9"/>
    <w:rsid w:val="00290030"/>
    <w:rsid w:val="00290A45"/>
    <w:rsid w:val="00294690"/>
    <w:rsid w:val="002A00B3"/>
    <w:rsid w:val="002A6E1D"/>
    <w:rsid w:val="002B37A3"/>
    <w:rsid w:val="002B7476"/>
    <w:rsid w:val="002C66DD"/>
    <w:rsid w:val="002D06FC"/>
    <w:rsid w:val="002D0DAC"/>
    <w:rsid w:val="002D303D"/>
    <w:rsid w:val="002F25AD"/>
    <w:rsid w:val="002F2F97"/>
    <w:rsid w:val="0030115B"/>
    <w:rsid w:val="0030393E"/>
    <w:rsid w:val="003068D2"/>
    <w:rsid w:val="003117DD"/>
    <w:rsid w:val="0031441B"/>
    <w:rsid w:val="00316D84"/>
    <w:rsid w:val="003301DA"/>
    <w:rsid w:val="0033761A"/>
    <w:rsid w:val="00342DB4"/>
    <w:rsid w:val="00344786"/>
    <w:rsid w:val="00351198"/>
    <w:rsid w:val="0035331B"/>
    <w:rsid w:val="00355C65"/>
    <w:rsid w:val="00356D04"/>
    <w:rsid w:val="00357940"/>
    <w:rsid w:val="00357DC6"/>
    <w:rsid w:val="003615F5"/>
    <w:rsid w:val="003659EA"/>
    <w:rsid w:val="00371DF2"/>
    <w:rsid w:val="0037342F"/>
    <w:rsid w:val="00386D66"/>
    <w:rsid w:val="0038765B"/>
    <w:rsid w:val="0039558E"/>
    <w:rsid w:val="003975C2"/>
    <w:rsid w:val="003A08D1"/>
    <w:rsid w:val="003A3817"/>
    <w:rsid w:val="003A3ECA"/>
    <w:rsid w:val="003B1494"/>
    <w:rsid w:val="003B46CE"/>
    <w:rsid w:val="003B511A"/>
    <w:rsid w:val="003C0FB0"/>
    <w:rsid w:val="003C22E1"/>
    <w:rsid w:val="003C346B"/>
    <w:rsid w:val="003C4D02"/>
    <w:rsid w:val="003D0994"/>
    <w:rsid w:val="003D1C61"/>
    <w:rsid w:val="003E2971"/>
    <w:rsid w:val="003F2016"/>
    <w:rsid w:val="003F5DD1"/>
    <w:rsid w:val="003F642D"/>
    <w:rsid w:val="003F7671"/>
    <w:rsid w:val="00400471"/>
    <w:rsid w:val="00402B00"/>
    <w:rsid w:val="00406A08"/>
    <w:rsid w:val="00412DA1"/>
    <w:rsid w:val="00426574"/>
    <w:rsid w:val="00427446"/>
    <w:rsid w:val="004277CF"/>
    <w:rsid w:val="004310B4"/>
    <w:rsid w:val="00442F65"/>
    <w:rsid w:val="004446EC"/>
    <w:rsid w:val="0045157F"/>
    <w:rsid w:val="00453BAF"/>
    <w:rsid w:val="00454192"/>
    <w:rsid w:val="00460944"/>
    <w:rsid w:val="00463339"/>
    <w:rsid w:val="004633BC"/>
    <w:rsid w:val="0046341C"/>
    <w:rsid w:val="00466719"/>
    <w:rsid w:val="00467EF7"/>
    <w:rsid w:val="004714A3"/>
    <w:rsid w:val="004738F8"/>
    <w:rsid w:val="004757D7"/>
    <w:rsid w:val="0047641C"/>
    <w:rsid w:val="0048363F"/>
    <w:rsid w:val="004840A7"/>
    <w:rsid w:val="004857B3"/>
    <w:rsid w:val="00486719"/>
    <w:rsid w:val="00490418"/>
    <w:rsid w:val="0049121D"/>
    <w:rsid w:val="0049634D"/>
    <w:rsid w:val="004A419E"/>
    <w:rsid w:val="004B58E7"/>
    <w:rsid w:val="004B6119"/>
    <w:rsid w:val="004B625E"/>
    <w:rsid w:val="004C0160"/>
    <w:rsid w:val="004C5AF7"/>
    <w:rsid w:val="004D021E"/>
    <w:rsid w:val="004D6023"/>
    <w:rsid w:val="004E300F"/>
    <w:rsid w:val="004E40E6"/>
    <w:rsid w:val="004E42BC"/>
    <w:rsid w:val="004E5CCA"/>
    <w:rsid w:val="004E757A"/>
    <w:rsid w:val="004E75CE"/>
    <w:rsid w:val="004F729C"/>
    <w:rsid w:val="00507F40"/>
    <w:rsid w:val="005152C8"/>
    <w:rsid w:val="0052163A"/>
    <w:rsid w:val="00522716"/>
    <w:rsid w:val="0052335F"/>
    <w:rsid w:val="00531917"/>
    <w:rsid w:val="00536FCA"/>
    <w:rsid w:val="005473A6"/>
    <w:rsid w:val="00547B0C"/>
    <w:rsid w:val="00552388"/>
    <w:rsid w:val="0058043D"/>
    <w:rsid w:val="00587A57"/>
    <w:rsid w:val="005A5DBE"/>
    <w:rsid w:val="005A6D6A"/>
    <w:rsid w:val="005B4EED"/>
    <w:rsid w:val="005D066B"/>
    <w:rsid w:val="005D6BA2"/>
    <w:rsid w:val="005D740B"/>
    <w:rsid w:val="005E27A8"/>
    <w:rsid w:val="005E27E7"/>
    <w:rsid w:val="005E5CF0"/>
    <w:rsid w:val="005F1FAF"/>
    <w:rsid w:val="006129A8"/>
    <w:rsid w:val="00613B93"/>
    <w:rsid w:val="00613C11"/>
    <w:rsid w:val="00620F56"/>
    <w:rsid w:val="006223F2"/>
    <w:rsid w:val="00625D30"/>
    <w:rsid w:val="00632702"/>
    <w:rsid w:val="006339ED"/>
    <w:rsid w:val="00633C85"/>
    <w:rsid w:val="00637E03"/>
    <w:rsid w:val="006475FA"/>
    <w:rsid w:val="00647B74"/>
    <w:rsid w:val="00647FE9"/>
    <w:rsid w:val="00657529"/>
    <w:rsid w:val="00661E47"/>
    <w:rsid w:val="00662F85"/>
    <w:rsid w:val="006702A7"/>
    <w:rsid w:val="0067604C"/>
    <w:rsid w:val="006812B9"/>
    <w:rsid w:val="006818CD"/>
    <w:rsid w:val="00683770"/>
    <w:rsid w:val="006851E2"/>
    <w:rsid w:val="006934C8"/>
    <w:rsid w:val="006964A3"/>
    <w:rsid w:val="006A112C"/>
    <w:rsid w:val="006B07B7"/>
    <w:rsid w:val="006B3DAC"/>
    <w:rsid w:val="006B7823"/>
    <w:rsid w:val="006C20EB"/>
    <w:rsid w:val="006C44C9"/>
    <w:rsid w:val="006C5B7E"/>
    <w:rsid w:val="006D2C6D"/>
    <w:rsid w:val="006D5227"/>
    <w:rsid w:val="006D58B9"/>
    <w:rsid w:val="006E5440"/>
    <w:rsid w:val="006E6044"/>
    <w:rsid w:val="006E6311"/>
    <w:rsid w:val="006F3AA9"/>
    <w:rsid w:val="006F4E0B"/>
    <w:rsid w:val="006F5093"/>
    <w:rsid w:val="007001D0"/>
    <w:rsid w:val="00701A2D"/>
    <w:rsid w:val="0070630A"/>
    <w:rsid w:val="00707411"/>
    <w:rsid w:val="007079F7"/>
    <w:rsid w:val="00707D36"/>
    <w:rsid w:val="007152F5"/>
    <w:rsid w:val="0071765B"/>
    <w:rsid w:val="007176A6"/>
    <w:rsid w:val="0072069C"/>
    <w:rsid w:val="00720777"/>
    <w:rsid w:val="00735D2A"/>
    <w:rsid w:val="007409FD"/>
    <w:rsid w:val="00744316"/>
    <w:rsid w:val="0074481F"/>
    <w:rsid w:val="00747877"/>
    <w:rsid w:val="0075311E"/>
    <w:rsid w:val="007605E4"/>
    <w:rsid w:val="00763538"/>
    <w:rsid w:val="007640BD"/>
    <w:rsid w:val="0076666E"/>
    <w:rsid w:val="00766F2F"/>
    <w:rsid w:val="00774657"/>
    <w:rsid w:val="0078707F"/>
    <w:rsid w:val="00792FAE"/>
    <w:rsid w:val="00793844"/>
    <w:rsid w:val="00794811"/>
    <w:rsid w:val="00796995"/>
    <w:rsid w:val="007A3528"/>
    <w:rsid w:val="007B3317"/>
    <w:rsid w:val="007B461A"/>
    <w:rsid w:val="007B596C"/>
    <w:rsid w:val="007B6631"/>
    <w:rsid w:val="007B6FC5"/>
    <w:rsid w:val="007C21FF"/>
    <w:rsid w:val="007C28FE"/>
    <w:rsid w:val="007C2B49"/>
    <w:rsid w:val="007C36E4"/>
    <w:rsid w:val="007D1F2E"/>
    <w:rsid w:val="007D200D"/>
    <w:rsid w:val="007D2742"/>
    <w:rsid w:val="007D2DE3"/>
    <w:rsid w:val="007D7083"/>
    <w:rsid w:val="007E4D4F"/>
    <w:rsid w:val="007F3F85"/>
    <w:rsid w:val="00800F6A"/>
    <w:rsid w:val="008054B1"/>
    <w:rsid w:val="008067AE"/>
    <w:rsid w:val="00814E6F"/>
    <w:rsid w:val="008162C8"/>
    <w:rsid w:val="00830F5B"/>
    <w:rsid w:val="00832615"/>
    <w:rsid w:val="008376C2"/>
    <w:rsid w:val="00857BD5"/>
    <w:rsid w:val="00860ECF"/>
    <w:rsid w:val="00862E66"/>
    <w:rsid w:val="008632DC"/>
    <w:rsid w:val="00871DFC"/>
    <w:rsid w:val="00872281"/>
    <w:rsid w:val="00874FCB"/>
    <w:rsid w:val="00875790"/>
    <w:rsid w:val="00875E72"/>
    <w:rsid w:val="0088286E"/>
    <w:rsid w:val="008853A2"/>
    <w:rsid w:val="008860B3"/>
    <w:rsid w:val="008925C5"/>
    <w:rsid w:val="0089522D"/>
    <w:rsid w:val="00895A02"/>
    <w:rsid w:val="008973C7"/>
    <w:rsid w:val="008A0B95"/>
    <w:rsid w:val="008A20CC"/>
    <w:rsid w:val="008A6F51"/>
    <w:rsid w:val="008B54DE"/>
    <w:rsid w:val="008B6A87"/>
    <w:rsid w:val="008B6C9C"/>
    <w:rsid w:val="008B7E3D"/>
    <w:rsid w:val="008C1866"/>
    <w:rsid w:val="008C3FCE"/>
    <w:rsid w:val="008C68C2"/>
    <w:rsid w:val="008D4418"/>
    <w:rsid w:val="008D4A84"/>
    <w:rsid w:val="008D6F21"/>
    <w:rsid w:val="008E2EFA"/>
    <w:rsid w:val="008E422F"/>
    <w:rsid w:val="008E5E5F"/>
    <w:rsid w:val="008E6D76"/>
    <w:rsid w:val="008E7E4D"/>
    <w:rsid w:val="008F1765"/>
    <w:rsid w:val="008F357F"/>
    <w:rsid w:val="008F7C58"/>
    <w:rsid w:val="008F7E07"/>
    <w:rsid w:val="00900141"/>
    <w:rsid w:val="009007CD"/>
    <w:rsid w:val="009009B0"/>
    <w:rsid w:val="009049D6"/>
    <w:rsid w:val="00912081"/>
    <w:rsid w:val="00912A1E"/>
    <w:rsid w:val="00913A8D"/>
    <w:rsid w:val="00920AA2"/>
    <w:rsid w:val="009245E9"/>
    <w:rsid w:val="00925FCD"/>
    <w:rsid w:val="00926035"/>
    <w:rsid w:val="009343EE"/>
    <w:rsid w:val="00936137"/>
    <w:rsid w:val="009377E7"/>
    <w:rsid w:val="00944F29"/>
    <w:rsid w:val="009453B6"/>
    <w:rsid w:val="00947588"/>
    <w:rsid w:val="009537A6"/>
    <w:rsid w:val="009570C6"/>
    <w:rsid w:val="00957DBD"/>
    <w:rsid w:val="0096145B"/>
    <w:rsid w:val="00964F27"/>
    <w:rsid w:val="00967AAE"/>
    <w:rsid w:val="00975DC0"/>
    <w:rsid w:val="009822B2"/>
    <w:rsid w:val="00982950"/>
    <w:rsid w:val="00982B97"/>
    <w:rsid w:val="00991DC1"/>
    <w:rsid w:val="0099211D"/>
    <w:rsid w:val="00992CBE"/>
    <w:rsid w:val="009A0A88"/>
    <w:rsid w:val="009A589F"/>
    <w:rsid w:val="009A5BA7"/>
    <w:rsid w:val="009A5DE2"/>
    <w:rsid w:val="009B0B2D"/>
    <w:rsid w:val="009B7A57"/>
    <w:rsid w:val="009C1846"/>
    <w:rsid w:val="009D0254"/>
    <w:rsid w:val="009D2CC8"/>
    <w:rsid w:val="009D2F9B"/>
    <w:rsid w:val="009E2340"/>
    <w:rsid w:val="009E23B6"/>
    <w:rsid w:val="009E333E"/>
    <w:rsid w:val="009E618A"/>
    <w:rsid w:val="009E71AC"/>
    <w:rsid w:val="009F0E79"/>
    <w:rsid w:val="009F2467"/>
    <w:rsid w:val="009F4D1B"/>
    <w:rsid w:val="00A01684"/>
    <w:rsid w:val="00A02854"/>
    <w:rsid w:val="00A034F5"/>
    <w:rsid w:val="00A03718"/>
    <w:rsid w:val="00A1029D"/>
    <w:rsid w:val="00A2184D"/>
    <w:rsid w:val="00A234B1"/>
    <w:rsid w:val="00A23843"/>
    <w:rsid w:val="00A26654"/>
    <w:rsid w:val="00A33DC5"/>
    <w:rsid w:val="00A362B0"/>
    <w:rsid w:val="00A519EA"/>
    <w:rsid w:val="00A75E24"/>
    <w:rsid w:val="00A76144"/>
    <w:rsid w:val="00A83C2F"/>
    <w:rsid w:val="00A9342E"/>
    <w:rsid w:val="00A95DB0"/>
    <w:rsid w:val="00A971D3"/>
    <w:rsid w:val="00AB1EAD"/>
    <w:rsid w:val="00AB2F1F"/>
    <w:rsid w:val="00AB6F7B"/>
    <w:rsid w:val="00AB7BAE"/>
    <w:rsid w:val="00AC05D0"/>
    <w:rsid w:val="00AC0B87"/>
    <w:rsid w:val="00AC1964"/>
    <w:rsid w:val="00AC1DDE"/>
    <w:rsid w:val="00AC6797"/>
    <w:rsid w:val="00AD0EA4"/>
    <w:rsid w:val="00AD5084"/>
    <w:rsid w:val="00AD7E3E"/>
    <w:rsid w:val="00AE081C"/>
    <w:rsid w:val="00AF25FC"/>
    <w:rsid w:val="00AF4EAA"/>
    <w:rsid w:val="00AF7AB6"/>
    <w:rsid w:val="00B0425D"/>
    <w:rsid w:val="00B04C2F"/>
    <w:rsid w:val="00B07AEA"/>
    <w:rsid w:val="00B23031"/>
    <w:rsid w:val="00B243C0"/>
    <w:rsid w:val="00B24D7C"/>
    <w:rsid w:val="00B356C9"/>
    <w:rsid w:val="00B420CA"/>
    <w:rsid w:val="00B46A50"/>
    <w:rsid w:val="00B55DE9"/>
    <w:rsid w:val="00B6502A"/>
    <w:rsid w:val="00B766AF"/>
    <w:rsid w:val="00B826D3"/>
    <w:rsid w:val="00B86752"/>
    <w:rsid w:val="00B962C8"/>
    <w:rsid w:val="00B971A9"/>
    <w:rsid w:val="00BA00C4"/>
    <w:rsid w:val="00BA0E54"/>
    <w:rsid w:val="00BA479C"/>
    <w:rsid w:val="00BB7657"/>
    <w:rsid w:val="00BC04B7"/>
    <w:rsid w:val="00BC07FA"/>
    <w:rsid w:val="00BC2D63"/>
    <w:rsid w:val="00BC3883"/>
    <w:rsid w:val="00BC453F"/>
    <w:rsid w:val="00BC5BD8"/>
    <w:rsid w:val="00BD0756"/>
    <w:rsid w:val="00BD355D"/>
    <w:rsid w:val="00BD37E8"/>
    <w:rsid w:val="00BD3D6F"/>
    <w:rsid w:val="00BD560E"/>
    <w:rsid w:val="00BD743F"/>
    <w:rsid w:val="00BE5C5E"/>
    <w:rsid w:val="00BF0592"/>
    <w:rsid w:val="00BF076F"/>
    <w:rsid w:val="00BF1037"/>
    <w:rsid w:val="00BF14AA"/>
    <w:rsid w:val="00BF2A47"/>
    <w:rsid w:val="00BF49B7"/>
    <w:rsid w:val="00BF7134"/>
    <w:rsid w:val="00C030A7"/>
    <w:rsid w:val="00C05B20"/>
    <w:rsid w:val="00C109B9"/>
    <w:rsid w:val="00C141CE"/>
    <w:rsid w:val="00C219B6"/>
    <w:rsid w:val="00C228FC"/>
    <w:rsid w:val="00C23363"/>
    <w:rsid w:val="00C23DC7"/>
    <w:rsid w:val="00C240A2"/>
    <w:rsid w:val="00C26000"/>
    <w:rsid w:val="00C33370"/>
    <w:rsid w:val="00C33DC5"/>
    <w:rsid w:val="00C44538"/>
    <w:rsid w:val="00C55A9C"/>
    <w:rsid w:val="00C62585"/>
    <w:rsid w:val="00C7128D"/>
    <w:rsid w:val="00C76B9A"/>
    <w:rsid w:val="00C84E71"/>
    <w:rsid w:val="00C862A3"/>
    <w:rsid w:val="00C866FF"/>
    <w:rsid w:val="00C92269"/>
    <w:rsid w:val="00C930DA"/>
    <w:rsid w:val="00CA1D2E"/>
    <w:rsid w:val="00CA6829"/>
    <w:rsid w:val="00CA7C62"/>
    <w:rsid w:val="00CA7FE9"/>
    <w:rsid w:val="00CB179F"/>
    <w:rsid w:val="00CB62AB"/>
    <w:rsid w:val="00CC2CF3"/>
    <w:rsid w:val="00CC38E9"/>
    <w:rsid w:val="00CC3C14"/>
    <w:rsid w:val="00CD19CF"/>
    <w:rsid w:val="00CD37C7"/>
    <w:rsid w:val="00CE10C7"/>
    <w:rsid w:val="00CF18DB"/>
    <w:rsid w:val="00CF564B"/>
    <w:rsid w:val="00CF7611"/>
    <w:rsid w:val="00D0027A"/>
    <w:rsid w:val="00D10C4F"/>
    <w:rsid w:val="00D12DA1"/>
    <w:rsid w:val="00D14F2A"/>
    <w:rsid w:val="00D15C16"/>
    <w:rsid w:val="00D24DA4"/>
    <w:rsid w:val="00D25B89"/>
    <w:rsid w:val="00D30E31"/>
    <w:rsid w:val="00D32C23"/>
    <w:rsid w:val="00D33B66"/>
    <w:rsid w:val="00D37D17"/>
    <w:rsid w:val="00D42C59"/>
    <w:rsid w:val="00D476F1"/>
    <w:rsid w:val="00D60405"/>
    <w:rsid w:val="00D62366"/>
    <w:rsid w:val="00D72B91"/>
    <w:rsid w:val="00D83138"/>
    <w:rsid w:val="00D8380D"/>
    <w:rsid w:val="00D9337D"/>
    <w:rsid w:val="00D938A2"/>
    <w:rsid w:val="00D94FF6"/>
    <w:rsid w:val="00DA3CE6"/>
    <w:rsid w:val="00DA579C"/>
    <w:rsid w:val="00DB0684"/>
    <w:rsid w:val="00DB2669"/>
    <w:rsid w:val="00DB2749"/>
    <w:rsid w:val="00DB2FC6"/>
    <w:rsid w:val="00DB60CE"/>
    <w:rsid w:val="00DB6DAF"/>
    <w:rsid w:val="00DC0F86"/>
    <w:rsid w:val="00DC28D9"/>
    <w:rsid w:val="00DC619D"/>
    <w:rsid w:val="00DC70CE"/>
    <w:rsid w:val="00DD098F"/>
    <w:rsid w:val="00DD11AA"/>
    <w:rsid w:val="00DD1D16"/>
    <w:rsid w:val="00DD33DF"/>
    <w:rsid w:val="00DD4EFE"/>
    <w:rsid w:val="00DE00E8"/>
    <w:rsid w:val="00DE2C01"/>
    <w:rsid w:val="00DF0233"/>
    <w:rsid w:val="00DF33CA"/>
    <w:rsid w:val="00E00465"/>
    <w:rsid w:val="00E044DD"/>
    <w:rsid w:val="00E066D0"/>
    <w:rsid w:val="00E15E01"/>
    <w:rsid w:val="00E17C5F"/>
    <w:rsid w:val="00E17EE4"/>
    <w:rsid w:val="00E23C69"/>
    <w:rsid w:val="00E25F75"/>
    <w:rsid w:val="00E270CE"/>
    <w:rsid w:val="00E27E1F"/>
    <w:rsid w:val="00E310CF"/>
    <w:rsid w:val="00E31BAA"/>
    <w:rsid w:val="00E33085"/>
    <w:rsid w:val="00E41DDD"/>
    <w:rsid w:val="00E46D34"/>
    <w:rsid w:val="00E501BD"/>
    <w:rsid w:val="00E554FE"/>
    <w:rsid w:val="00E560DA"/>
    <w:rsid w:val="00E64C63"/>
    <w:rsid w:val="00E660AB"/>
    <w:rsid w:val="00E67B1A"/>
    <w:rsid w:val="00E77E38"/>
    <w:rsid w:val="00E81790"/>
    <w:rsid w:val="00E84613"/>
    <w:rsid w:val="00E902F5"/>
    <w:rsid w:val="00E95E51"/>
    <w:rsid w:val="00E965F1"/>
    <w:rsid w:val="00EA23D0"/>
    <w:rsid w:val="00EB1163"/>
    <w:rsid w:val="00EB7766"/>
    <w:rsid w:val="00EC268B"/>
    <w:rsid w:val="00EC2C07"/>
    <w:rsid w:val="00EC36F5"/>
    <w:rsid w:val="00EC488D"/>
    <w:rsid w:val="00ED18AB"/>
    <w:rsid w:val="00ED39C4"/>
    <w:rsid w:val="00EE0261"/>
    <w:rsid w:val="00EE1EEC"/>
    <w:rsid w:val="00EE4929"/>
    <w:rsid w:val="00EF2622"/>
    <w:rsid w:val="00F00719"/>
    <w:rsid w:val="00F01337"/>
    <w:rsid w:val="00F0316F"/>
    <w:rsid w:val="00F06A51"/>
    <w:rsid w:val="00F118CC"/>
    <w:rsid w:val="00F143BF"/>
    <w:rsid w:val="00F21525"/>
    <w:rsid w:val="00F32EC6"/>
    <w:rsid w:val="00F37511"/>
    <w:rsid w:val="00F54158"/>
    <w:rsid w:val="00F555AD"/>
    <w:rsid w:val="00F61744"/>
    <w:rsid w:val="00F64BC8"/>
    <w:rsid w:val="00F7006D"/>
    <w:rsid w:val="00F71CF9"/>
    <w:rsid w:val="00F76895"/>
    <w:rsid w:val="00F84835"/>
    <w:rsid w:val="00F87722"/>
    <w:rsid w:val="00F90A99"/>
    <w:rsid w:val="00F90F98"/>
    <w:rsid w:val="00F90FEE"/>
    <w:rsid w:val="00F9149A"/>
    <w:rsid w:val="00F9234F"/>
    <w:rsid w:val="00FA4ACB"/>
    <w:rsid w:val="00FA4C05"/>
    <w:rsid w:val="00FA63E8"/>
    <w:rsid w:val="00FB20C5"/>
    <w:rsid w:val="00FB3E1B"/>
    <w:rsid w:val="00FB3F06"/>
    <w:rsid w:val="00FB56B4"/>
    <w:rsid w:val="00FB7F26"/>
    <w:rsid w:val="00FC3C3E"/>
    <w:rsid w:val="00FC43A8"/>
    <w:rsid w:val="00FC7AE7"/>
    <w:rsid w:val="00FD5AC9"/>
    <w:rsid w:val="00FE1E3A"/>
    <w:rsid w:val="00FE24FF"/>
    <w:rsid w:val="00FE402F"/>
    <w:rsid w:val="00FE7678"/>
    <w:rsid w:val="00FF4C1E"/>
    <w:rsid w:val="00FF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08F56-0508-48A8-81E1-72D74644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57A"/>
    <w:rPr>
      <w:rFonts w:ascii="Times New Roman" w:eastAsia="Times New Roman" w:hAnsi="Times New Roman"/>
      <w:sz w:val="28"/>
      <w:szCs w:val="28"/>
      <w:lang w:val="ro-RO"/>
    </w:rPr>
  </w:style>
  <w:style w:type="paragraph" w:styleId="Heading1">
    <w:name w:val="heading 1"/>
    <w:basedOn w:val="Normal"/>
    <w:next w:val="Normal"/>
    <w:link w:val="Heading1Char"/>
    <w:qFormat/>
    <w:rsid w:val="004E757A"/>
    <w:pPr>
      <w:keepNext/>
      <w:ind w:firstLine="720"/>
      <w:jc w:val="center"/>
      <w:outlineLvl w:val="0"/>
    </w:pPr>
    <w:rPr>
      <w:rFonts w:ascii="TimesRomanR" w:hAnsi="TimesRomanR"/>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757A"/>
    <w:rPr>
      <w:rFonts w:ascii="TimesRomanR" w:eastAsia="Times New Roman" w:hAnsi="TimesRomanR" w:cs="Times New Roman"/>
      <w:b/>
      <w:sz w:val="28"/>
      <w:szCs w:val="20"/>
    </w:rPr>
  </w:style>
  <w:style w:type="paragraph" w:styleId="Footer">
    <w:name w:val="footer"/>
    <w:basedOn w:val="Normal"/>
    <w:link w:val="FooterChar"/>
    <w:uiPriority w:val="99"/>
    <w:rsid w:val="004E757A"/>
    <w:pPr>
      <w:tabs>
        <w:tab w:val="center" w:pos="4320"/>
        <w:tab w:val="right" w:pos="8640"/>
      </w:tabs>
    </w:pPr>
  </w:style>
  <w:style w:type="character" w:customStyle="1" w:styleId="FooterChar">
    <w:name w:val="Footer Char"/>
    <w:basedOn w:val="DefaultParagraphFont"/>
    <w:link w:val="Footer"/>
    <w:uiPriority w:val="99"/>
    <w:rsid w:val="004E757A"/>
    <w:rPr>
      <w:rFonts w:ascii="Times New Roman" w:eastAsia="Times New Roman" w:hAnsi="Times New Roman" w:cs="Times New Roman"/>
      <w:sz w:val="28"/>
      <w:szCs w:val="28"/>
      <w:lang w:val="ro-RO"/>
    </w:rPr>
  </w:style>
  <w:style w:type="character" w:styleId="PageNumber">
    <w:name w:val="page number"/>
    <w:basedOn w:val="DefaultParagraphFont"/>
    <w:rsid w:val="004E757A"/>
  </w:style>
  <w:style w:type="paragraph" w:styleId="BodyText">
    <w:name w:val="Body Text"/>
    <w:basedOn w:val="Normal"/>
    <w:link w:val="BodyTextChar1"/>
    <w:rsid w:val="004E757A"/>
    <w:pPr>
      <w:spacing w:after="120"/>
    </w:pPr>
  </w:style>
  <w:style w:type="character" w:customStyle="1" w:styleId="BodyTextChar">
    <w:name w:val="Body Text Char"/>
    <w:basedOn w:val="DefaultParagraphFont"/>
    <w:uiPriority w:val="99"/>
    <w:semiHidden/>
    <w:rsid w:val="004E757A"/>
    <w:rPr>
      <w:rFonts w:ascii="Times New Roman" w:eastAsia="Times New Roman" w:hAnsi="Times New Roman" w:cs="Times New Roman"/>
      <w:sz w:val="28"/>
      <w:szCs w:val="28"/>
      <w:lang w:val="ro-RO"/>
    </w:rPr>
  </w:style>
  <w:style w:type="character" w:customStyle="1" w:styleId="do1">
    <w:name w:val="do1"/>
    <w:rsid w:val="004E757A"/>
    <w:rPr>
      <w:b/>
      <w:bCs/>
      <w:sz w:val="26"/>
      <w:szCs w:val="26"/>
    </w:rPr>
  </w:style>
  <w:style w:type="character" w:customStyle="1" w:styleId="tal1">
    <w:name w:val="tal1"/>
    <w:rsid w:val="004E757A"/>
  </w:style>
  <w:style w:type="paragraph" w:customStyle="1" w:styleId="StyleNORMALArialFirstline0cm">
    <w:name w:val="Style NORMAL + Arial First line:  0 cm"/>
    <w:basedOn w:val="Normal"/>
    <w:rsid w:val="004E757A"/>
    <w:pPr>
      <w:spacing w:before="120" w:after="240"/>
      <w:jc w:val="both"/>
    </w:pPr>
    <w:rPr>
      <w:rFonts w:ascii="Arial" w:hAnsi="Arial"/>
      <w:sz w:val="24"/>
      <w:szCs w:val="24"/>
      <w:lang w:val="en-GB" w:eastAsia="ro-RO"/>
    </w:rPr>
  </w:style>
  <w:style w:type="character" w:customStyle="1" w:styleId="BodyTextChar1">
    <w:name w:val="Body Text Char1"/>
    <w:link w:val="BodyText"/>
    <w:rsid w:val="004E757A"/>
    <w:rPr>
      <w:rFonts w:ascii="Times New Roman" w:eastAsia="Times New Roman" w:hAnsi="Times New Roman" w:cs="Times New Roman"/>
      <w:sz w:val="28"/>
      <w:szCs w:val="28"/>
      <w:lang w:val="ro-RO"/>
    </w:rPr>
  </w:style>
  <w:style w:type="paragraph" w:customStyle="1" w:styleId="ListParagraph1">
    <w:name w:val="List Paragraph1"/>
    <w:basedOn w:val="Normal"/>
    <w:uiPriority w:val="34"/>
    <w:qFormat/>
    <w:rsid w:val="004E757A"/>
    <w:pPr>
      <w:ind w:left="720"/>
      <w:contextualSpacing/>
    </w:pPr>
    <w:rPr>
      <w:sz w:val="24"/>
      <w:szCs w:val="24"/>
      <w:lang w:eastAsia="ro-RO"/>
    </w:rPr>
  </w:style>
  <w:style w:type="paragraph" w:customStyle="1" w:styleId="CharCharCaracterCharCharCaracterCharCharCaracter">
    <w:name w:val="Char Char Caracter Char Char Caracter Char Char Caracter"/>
    <w:basedOn w:val="NormalIndent"/>
    <w:rsid w:val="00252F1E"/>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semiHidden/>
    <w:unhideWhenUsed/>
    <w:rsid w:val="00252F1E"/>
    <w:pPr>
      <w:ind w:left="720"/>
    </w:pPr>
  </w:style>
  <w:style w:type="character" w:customStyle="1" w:styleId="tpa1">
    <w:name w:val="tpa1"/>
    <w:basedOn w:val="DefaultParagraphFont"/>
    <w:rsid w:val="007A3528"/>
  </w:style>
  <w:style w:type="paragraph" w:styleId="ListParagraph">
    <w:name w:val="List Paragraph"/>
    <w:basedOn w:val="Normal"/>
    <w:uiPriority w:val="34"/>
    <w:qFormat/>
    <w:rsid w:val="00EC488D"/>
    <w:pPr>
      <w:ind w:left="708"/>
    </w:pPr>
    <w:rPr>
      <w:sz w:val="24"/>
      <w:szCs w:val="24"/>
      <w:lang w:val="en-US"/>
    </w:rPr>
  </w:style>
  <w:style w:type="paragraph" w:styleId="Header">
    <w:name w:val="header"/>
    <w:basedOn w:val="Normal"/>
    <w:link w:val="HeaderChar"/>
    <w:uiPriority w:val="99"/>
    <w:unhideWhenUsed/>
    <w:rsid w:val="00AF25FC"/>
    <w:pPr>
      <w:tabs>
        <w:tab w:val="center" w:pos="4680"/>
        <w:tab w:val="right" w:pos="9360"/>
      </w:tabs>
    </w:pPr>
  </w:style>
  <w:style w:type="character" w:customStyle="1" w:styleId="HeaderChar">
    <w:name w:val="Header Char"/>
    <w:basedOn w:val="DefaultParagraphFont"/>
    <w:link w:val="Header"/>
    <w:uiPriority w:val="99"/>
    <w:rsid w:val="00AF25FC"/>
    <w:rPr>
      <w:rFonts w:ascii="Times New Roman" w:eastAsia="Times New Roman" w:hAnsi="Times New Roman"/>
      <w:sz w:val="28"/>
      <w:szCs w:val="28"/>
      <w:lang w:val="ro-RO"/>
    </w:rPr>
  </w:style>
  <w:style w:type="character" w:customStyle="1" w:styleId="rvts10">
    <w:name w:val="rvts10"/>
    <w:rsid w:val="00637E03"/>
  </w:style>
  <w:style w:type="table" w:styleId="TableGrid">
    <w:name w:val="Table Grid"/>
    <w:basedOn w:val="TableNormal"/>
    <w:uiPriority w:val="39"/>
    <w:rsid w:val="00BF10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60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0DA"/>
    <w:rPr>
      <w:rFonts w:ascii="Segoe UI" w:eastAsia="Times New Roman" w:hAnsi="Segoe UI" w:cs="Segoe UI"/>
      <w:sz w:val="18"/>
      <w:szCs w:val="18"/>
      <w:lang w:val="ro-RO"/>
    </w:rPr>
  </w:style>
  <w:style w:type="character" w:styleId="Hyperlink">
    <w:name w:val="Hyperlink"/>
    <w:basedOn w:val="DefaultParagraphFont"/>
    <w:uiPriority w:val="99"/>
    <w:semiHidden/>
    <w:unhideWhenUsed/>
    <w:rsid w:val="006760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17001">
      <w:bodyDiv w:val="1"/>
      <w:marLeft w:val="0"/>
      <w:marRight w:val="0"/>
      <w:marTop w:val="0"/>
      <w:marBottom w:val="0"/>
      <w:divBdr>
        <w:top w:val="none" w:sz="0" w:space="0" w:color="auto"/>
        <w:left w:val="none" w:sz="0" w:space="0" w:color="auto"/>
        <w:bottom w:val="none" w:sz="0" w:space="0" w:color="auto"/>
        <w:right w:val="none" w:sz="0" w:space="0" w:color="auto"/>
      </w:divBdr>
    </w:div>
    <w:div w:id="348456339">
      <w:bodyDiv w:val="1"/>
      <w:marLeft w:val="0"/>
      <w:marRight w:val="0"/>
      <w:marTop w:val="0"/>
      <w:marBottom w:val="0"/>
      <w:divBdr>
        <w:top w:val="none" w:sz="0" w:space="0" w:color="auto"/>
        <w:left w:val="none" w:sz="0" w:space="0" w:color="auto"/>
        <w:bottom w:val="none" w:sz="0" w:space="0" w:color="auto"/>
        <w:right w:val="none" w:sz="0" w:space="0" w:color="auto"/>
      </w:divBdr>
    </w:div>
    <w:div w:id="349571533">
      <w:bodyDiv w:val="1"/>
      <w:marLeft w:val="0"/>
      <w:marRight w:val="0"/>
      <w:marTop w:val="0"/>
      <w:marBottom w:val="0"/>
      <w:divBdr>
        <w:top w:val="none" w:sz="0" w:space="0" w:color="auto"/>
        <w:left w:val="none" w:sz="0" w:space="0" w:color="auto"/>
        <w:bottom w:val="none" w:sz="0" w:space="0" w:color="auto"/>
        <w:right w:val="none" w:sz="0" w:space="0" w:color="auto"/>
      </w:divBdr>
    </w:div>
    <w:div w:id="408967331">
      <w:bodyDiv w:val="1"/>
      <w:marLeft w:val="0"/>
      <w:marRight w:val="0"/>
      <w:marTop w:val="0"/>
      <w:marBottom w:val="0"/>
      <w:divBdr>
        <w:top w:val="none" w:sz="0" w:space="0" w:color="auto"/>
        <w:left w:val="none" w:sz="0" w:space="0" w:color="auto"/>
        <w:bottom w:val="none" w:sz="0" w:space="0" w:color="auto"/>
        <w:right w:val="none" w:sz="0" w:space="0" w:color="auto"/>
      </w:divBdr>
    </w:div>
    <w:div w:id="450129626">
      <w:bodyDiv w:val="1"/>
      <w:marLeft w:val="0"/>
      <w:marRight w:val="0"/>
      <w:marTop w:val="0"/>
      <w:marBottom w:val="0"/>
      <w:divBdr>
        <w:top w:val="none" w:sz="0" w:space="0" w:color="auto"/>
        <w:left w:val="none" w:sz="0" w:space="0" w:color="auto"/>
        <w:bottom w:val="none" w:sz="0" w:space="0" w:color="auto"/>
        <w:right w:val="none" w:sz="0" w:space="0" w:color="auto"/>
      </w:divBdr>
    </w:div>
    <w:div w:id="502742222">
      <w:bodyDiv w:val="1"/>
      <w:marLeft w:val="0"/>
      <w:marRight w:val="0"/>
      <w:marTop w:val="0"/>
      <w:marBottom w:val="0"/>
      <w:divBdr>
        <w:top w:val="none" w:sz="0" w:space="0" w:color="auto"/>
        <w:left w:val="none" w:sz="0" w:space="0" w:color="auto"/>
        <w:bottom w:val="none" w:sz="0" w:space="0" w:color="auto"/>
        <w:right w:val="none" w:sz="0" w:space="0" w:color="auto"/>
      </w:divBdr>
    </w:div>
    <w:div w:id="533924796">
      <w:bodyDiv w:val="1"/>
      <w:marLeft w:val="0"/>
      <w:marRight w:val="0"/>
      <w:marTop w:val="0"/>
      <w:marBottom w:val="0"/>
      <w:divBdr>
        <w:top w:val="none" w:sz="0" w:space="0" w:color="auto"/>
        <w:left w:val="none" w:sz="0" w:space="0" w:color="auto"/>
        <w:bottom w:val="none" w:sz="0" w:space="0" w:color="auto"/>
        <w:right w:val="none" w:sz="0" w:space="0" w:color="auto"/>
      </w:divBdr>
    </w:div>
    <w:div w:id="818376673">
      <w:bodyDiv w:val="1"/>
      <w:marLeft w:val="0"/>
      <w:marRight w:val="0"/>
      <w:marTop w:val="0"/>
      <w:marBottom w:val="0"/>
      <w:divBdr>
        <w:top w:val="none" w:sz="0" w:space="0" w:color="auto"/>
        <w:left w:val="none" w:sz="0" w:space="0" w:color="auto"/>
        <w:bottom w:val="none" w:sz="0" w:space="0" w:color="auto"/>
        <w:right w:val="none" w:sz="0" w:space="0" w:color="auto"/>
      </w:divBdr>
    </w:div>
    <w:div w:id="913780660">
      <w:bodyDiv w:val="1"/>
      <w:marLeft w:val="0"/>
      <w:marRight w:val="0"/>
      <w:marTop w:val="0"/>
      <w:marBottom w:val="0"/>
      <w:divBdr>
        <w:top w:val="none" w:sz="0" w:space="0" w:color="auto"/>
        <w:left w:val="none" w:sz="0" w:space="0" w:color="auto"/>
        <w:bottom w:val="none" w:sz="0" w:space="0" w:color="auto"/>
        <w:right w:val="none" w:sz="0" w:space="0" w:color="auto"/>
      </w:divBdr>
    </w:div>
    <w:div w:id="970013662">
      <w:bodyDiv w:val="1"/>
      <w:marLeft w:val="0"/>
      <w:marRight w:val="0"/>
      <w:marTop w:val="0"/>
      <w:marBottom w:val="0"/>
      <w:divBdr>
        <w:top w:val="none" w:sz="0" w:space="0" w:color="auto"/>
        <w:left w:val="none" w:sz="0" w:space="0" w:color="auto"/>
        <w:bottom w:val="none" w:sz="0" w:space="0" w:color="auto"/>
        <w:right w:val="none" w:sz="0" w:space="0" w:color="auto"/>
      </w:divBdr>
    </w:div>
    <w:div w:id="1010061682">
      <w:bodyDiv w:val="1"/>
      <w:marLeft w:val="0"/>
      <w:marRight w:val="0"/>
      <w:marTop w:val="0"/>
      <w:marBottom w:val="0"/>
      <w:divBdr>
        <w:top w:val="none" w:sz="0" w:space="0" w:color="auto"/>
        <w:left w:val="none" w:sz="0" w:space="0" w:color="auto"/>
        <w:bottom w:val="none" w:sz="0" w:space="0" w:color="auto"/>
        <w:right w:val="none" w:sz="0" w:space="0" w:color="auto"/>
      </w:divBdr>
    </w:div>
    <w:div w:id="1103376459">
      <w:bodyDiv w:val="1"/>
      <w:marLeft w:val="0"/>
      <w:marRight w:val="0"/>
      <w:marTop w:val="0"/>
      <w:marBottom w:val="0"/>
      <w:divBdr>
        <w:top w:val="none" w:sz="0" w:space="0" w:color="auto"/>
        <w:left w:val="none" w:sz="0" w:space="0" w:color="auto"/>
        <w:bottom w:val="none" w:sz="0" w:space="0" w:color="auto"/>
        <w:right w:val="none" w:sz="0" w:space="0" w:color="auto"/>
      </w:divBdr>
    </w:div>
    <w:div w:id="1111391068">
      <w:bodyDiv w:val="1"/>
      <w:marLeft w:val="0"/>
      <w:marRight w:val="0"/>
      <w:marTop w:val="0"/>
      <w:marBottom w:val="0"/>
      <w:divBdr>
        <w:top w:val="none" w:sz="0" w:space="0" w:color="auto"/>
        <w:left w:val="none" w:sz="0" w:space="0" w:color="auto"/>
        <w:bottom w:val="none" w:sz="0" w:space="0" w:color="auto"/>
        <w:right w:val="none" w:sz="0" w:space="0" w:color="auto"/>
      </w:divBdr>
    </w:div>
    <w:div w:id="1240018840">
      <w:bodyDiv w:val="1"/>
      <w:marLeft w:val="0"/>
      <w:marRight w:val="0"/>
      <w:marTop w:val="0"/>
      <w:marBottom w:val="0"/>
      <w:divBdr>
        <w:top w:val="none" w:sz="0" w:space="0" w:color="auto"/>
        <w:left w:val="none" w:sz="0" w:space="0" w:color="auto"/>
        <w:bottom w:val="none" w:sz="0" w:space="0" w:color="auto"/>
        <w:right w:val="none" w:sz="0" w:space="0" w:color="auto"/>
      </w:divBdr>
    </w:div>
    <w:div w:id="1389064299">
      <w:bodyDiv w:val="1"/>
      <w:marLeft w:val="0"/>
      <w:marRight w:val="0"/>
      <w:marTop w:val="0"/>
      <w:marBottom w:val="0"/>
      <w:divBdr>
        <w:top w:val="none" w:sz="0" w:space="0" w:color="auto"/>
        <w:left w:val="none" w:sz="0" w:space="0" w:color="auto"/>
        <w:bottom w:val="none" w:sz="0" w:space="0" w:color="auto"/>
        <w:right w:val="none" w:sz="0" w:space="0" w:color="auto"/>
      </w:divBdr>
    </w:div>
    <w:div w:id="1610502807">
      <w:bodyDiv w:val="1"/>
      <w:marLeft w:val="0"/>
      <w:marRight w:val="0"/>
      <w:marTop w:val="0"/>
      <w:marBottom w:val="0"/>
      <w:divBdr>
        <w:top w:val="none" w:sz="0" w:space="0" w:color="auto"/>
        <w:left w:val="none" w:sz="0" w:space="0" w:color="auto"/>
        <w:bottom w:val="none" w:sz="0" w:space="0" w:color="auto"/>
        <w:right w:val="none" w:sz="0" w:space="0" w:color="auto"/>
      </w:divBdr>
    </w:div>
    <w:div w:id="1665738273">
      <w:bodyDiv w:val="1"/>
      <w:marLeft w:val="0"/>
      <w:marRight w:val="0"/>
      <w:marTop w:val="0"/>
      <w:marBottom w:val="0"/>
      <w:divBdr>
        <w:top w:val="none" w:sz="0" w:space="0" w:color="auto"/>
        <w:left w:val="none" w:sz="0" w:space="0" w:color="auto"/>
        <w:bottom w:val="none" w:sz="0" w:space="0" w:color="auto"/>
        <w:right w:val="none" w:sz="0" w:space="0" w:color="auto"/>
      </w:divBdr>
    </w:div>
    <w:div w:id="1676955381">
      <w:bodyDiv w:val="1"/>
      <w:marLeft w:val="0"/>
      <w:marRight w:val="0"/>
      <w:marTop w:val="0"/>
      <w:marBottom w:val="0"/>
      <w:divBdr>
        <w:top w:val="none" w:sz="0" w:space="0" w:color="auto"/>
        <w:left w:val="none" w:sz="0" w:space="0" w:color="auto"/>
        <w:bottom w:val="none" w:sz="0" w:space="0" w:color="auto"/>
        <w:right w:val="none" w:sz="0" w:space="0" w:color="auto"/>
      </w:divBdr>
    </w:div>
    <w:div w:id="1861242455">
      <w:bodyDiv w:val="1"/>
      <w:marLeft w:val="0"/>
      <w:marRight w:val="0"/>
      <w:marTop w:val="0"/>
      <w:marBottom w:val="0"/>
      <w:divBdr>
        <w:top w:val="none" w:sz="0" w:space="0" w:color="auto"/>
        <w:left w:val="none" w:sz="0" w:space="0" w:color="auto"/>
        <w:bottom w:val="none" w:sz="0" w:space="0" w:color="auto"/>
        <w:right w:val="none" w:sz="0" w:space="0" w:color="auto"/>
      </w:divBdr>
    </w:div>
    <w:div w:id="2005551332">
      <w:bodyDiv w:val="1"/>
      <w:marLeft w:val="0"/>
      <w:marRight w:val="0"/>
      <w:marTop w:val="0"/>
      <w:marBottom w:val="0"/>
      <w:divBdr>
        <w:top w:val="none" w:sz="0" w:space="0" w:color="auto"/>
        <w:left w:val="none" w:sz="0" w:space="0" w:color="auto"/>
        <w:bottom w:val="none" w:sz="0" w:space="0" w:color="auto"/>
        <w:right w:val="none" w:sz="0" w:space="0" w:color="auto"/>
      </w:divBdr>
    </w:div>
    <w:div w:id="2095741937">
      <w:bodyDiv w:val="1"/>
      <w:marLeft w:val="0"/>
      <w:marRight w:val="0"/>
      <w:marTop w:val="0"/>
      <w:marBottom w:val="0"/>
      <w:divBdr>
        <w:top w:val="none" w:sz="0" w:space="0" w:color="auto"/>
        <w:left w:val="none" w:sz="0" w:space="0" w:color="auto"/>
        <w:bottom w:val="none" w:sz="0" w:space="0" w:color="auto"/>
        <w:right w:val="none" w:sz="0" w:space="0" w:color="auto"/>
      </w:divBdr>
    </w:div>
    <w:div w:id="214153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5312140\00132095.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sintact%204.0\cache\Legislatie\temp5312140\00132095.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User\sintact%204.0\cache\Legislatie\temp1836136\00136744.htm" TargetMode="External"/><Relationship Id="rId4" Type="http://schemas.openxmlformats.org/officeDocument/2006/relationships/settings" Target="settings.xml"/><Relationship Id="rId9" Type="http://schemas.openxmlformats.org/officeDocument/2006/relationships/hyperlink" Target="file:///C:\Users\user\sintact%204.0\cache\Legislatie\temp69508\00132095.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84021-2ECF-4B77-9067-DCE55F12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4531</Words>
  <Characters>25830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Tibi</dc:creator>
  <cp:lastModifiedBy>Claudia Lupescu</cp:lastModifiedBy>
  <cp:revision>9</cp:revision>
  <cp:lastPrinted>2021-06-07T11:05:00Z</cp:lastPrinted>
  <dcterms:created xsi:type="dcterms:W3CDTF">2021-06-07T11:05:00Z</dcterms:created>
  <dcterms:modified xsi:type="dcterms:W3CDTF">2021-06-14T06:38:00Z</dcterms:modified>
</cp:coreProperties>
</file>