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6E" w:rsidRPr="00B94E40" w:rsidRDefault="00471A9C" w:rsidP="007632F7">
      <w:pPr>
        <w:autoSpaceDE w:val="0"/>
        <w:autoSpaceDN w:val="0"/>
        <w:adjustRightInd w:val="0"/>
        <w:jc w:val="right"/>
        <w:rPr>
          <w:rFonts w:cs="Times New Roman"/>
          <w:i/>
          <w:szCs w:val="24"/>
        </w:rPr>
      </w:pPr>
      <w:r w:rsidRPr="00B94E40">
        <w:rPr>
          <w:rFonts w:cs="Times New Roman"/>
          <w:i/>
          <w:szCs w:val="24"/>
        </w:rPr>
        <w:t xml:space="preserve">ANEXA </w:t>
      </w:r>
      <w:r w:rsidR="007A756E" w:rsidRPr="00B94E40">
        <w:rPr>
          <w:rFonts w:cs="Times New Roman"/>
          <w:i/>
          <w:szCs w:val="24"/>
        </w:rPr>
        <w:t>la OMT</w:t>
      </w:r>
      <w:r w:rsidR="006145D5">
        <w:rPr>
          <w:rFonts w:cs="Times New Roman"/>
          <w:i/>
          <w:szCs w:val="24"/>
        </w:rPr>
        <w:t>IC</w:t>
      </w:r>
      <w:r w:rsidR="007A756E" w:rsidRPr="00B94E40">
        <w:rPr>
          <w:rFonts w:cs="Times New Roman"/>
          <w:i/>
          <w:szCs w:val="24"/>
        </w:rPr>
        <w:t xml:space="preserve"> nr. .........din .....................</w:t>
      </w:r>
    </w:p>
    <w:p w:rsidR="00564C0F" w:rsidRPr="00B94E40" w:rsidRDefault="00564C0F" w:rsidP="00C0045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C5D6B" w:rsidRPr="00B94E40" w:rsidRDefault="007C5D6B" w:rsidP="007A756E">
      <w:pPr>
        <w:autoSpaceDE w:val="0"/>
        <w:autoSpaceDN w:val="0"/>
        <w:adjustRightInd w:val="0"/>
        <w:ind w:firstLine="285"/>
        <w:jc w:val="right"/>
        <w:rPr>
          <w:rFonts w:cs="Times New Roman"/>
          <w:szCs w:val="24"/>
        </w:rPr>
      </w:pPr>
    </w:p>
    <w:p w:rsidR="007A756E" w:rsidRPr="00B94E40" w:rsidRDefault="00234521" w:rsidP="00DE692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B94E40">
        <w:rPr>
          <w:rFonts w:cs="Times New Roman"/>
          <w:b/>
          <w:bCs/>
          <w:szCs w:val="24"/>
        </w:rPr>
        <w:t xml:space="preserve">REZOLUȚIA </w:t>
      </w:r>
      <w:r w:rsidR="00455800" w:rsidRPr="00B94E40">
        <w:rPr>
          <w:rFonts w:cs="Times New Roman"/>
          <w:b/>
          <w:bCs/>
          <w:szCs w:val="24"/>
        </w:rPr>
        <w:t>MEPC.305(73</w:t>
      </w:r>
      <w:r w:rsidR="00564C0F" w:rsidRPr="00B94E40">
        <w:rPr>
          <w:rFonts w:cs="Times New Roman"/>
          <w:b/>
          <w:bCs/>
          <w:szCs w:val="24"/>
        </w:rPr>
        <w:t>)</w:t>
      </w:r>
    </w:p>
    <w:p w:rsidR="007A756E" w:rsidRPr="00B94E40" w:rsidRDefault="00234521" w:rsidP="007A756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B94E40">
        <w:rPr>
          <w:rFonts w:cs="Times New Roman"/>
          <w:b/>
          <w:bCs/>
          <w:szCs w:val="24"/>
        </w:rPr>
        <w:t>(a</w:t>
      </w:r>
      <w:r w:rsidR="007A756E" w:rsidRPr="00B94E40">
        <w:rPr>
          <w:rFonts w:cs="Times New Roman"/>
          <w:b/>
          <w:bCs/>
          <w:szCs w:val="24"/>
        </w:rPr>
        <w:t xml:space="preserve">doptată la </w:t>
      </w:r>
      <w:r w:rsidR="00455800" w:rsidRPr="00B94E40">
        <w:rPr>
          <w:rFonts w:cs="Times New Roman"/>
          <w:b/>
          <w:bCs/>
          <w:szCs w:val="24"/>
        </w:rPr>
        <w:t>26 octombrie</w:t>
      </w:r>
      <w:r w:rsidR="00A51071" w:rsidRPr="00B94E40">
        <w:rPr>
          <w:rFonts w:cs="Times New Roman"/>
          <w:b/>
          <w:bCs/>
          <w:szCs w:val="24"/>
        </w:rPr>
        <w:t xml:space="preserve"> </w:t>
      </w:r>
      <w:r w:rsidRPr="00B94E40">
        <w:rPr>
          <w:rFonts w:cs="Times New Roman"/>
          <w:b/>
          <w:bCs/>
          <w:szCs w:val="24"/>
        </w:rPr>
        <w:t>201</w:t>
      </w:r>
      <w:r w:rsidR="00564C0F" w:rsidRPr="00B94E40">
        <w:rPr>
          <w:rFonts w:cs="Times New Roman"/>
          <w:b/>
          <w:bCs/>
          <w:szCs w:val="24"/>
        </w:rPr>
        <w:t>8</w:t>
      </w:r>
      <w:r w:rsidRPr="00B94E40">
        <w:rPr>
          <w:rFonts w:cs="Times New Roman"/>
          <w:b/>
          <w:bCs/>
          <w:szCs w:val="24"/>
        </w:rPr>
        <w:t>)</w:t>
      </w:r>
    </w:p>
    <w:p w:rsidR="007A756E" w:rsidRPr="00B94E40" w:rsidRDefault="007A756E" w:rsidP="007A756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BA47D9" w:rsidRPr="00B94E40" w:rsidRDefault="004E6C6B" w:rsidP="004700B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  <w:r w:rsidRPr="00B94E40">
        <w:rPr>
          <w:rFonts w:eastAsia="Times New Roman" w:cs="Times New Roman"/>
          <w:b/>
          <w:szCs w:val="24"/>
          <w:lang w:eastAsia="ro-RO"/>
        </w:rPr>
        <w:t xml:space="preserve">AMENDAMENTE LA </w:t>
      </w:r>
      <w:r w:rsidR="0064639A" w:rsidRPr="00B94E40">
        <w:rPr>
          <w:rFonts w:eastAsia="Times New Roman" w:cs="Times New Roman"/>
          <w:b/>
          <w:szCs w:val="24"/>
          <w:lang w:eastAsia="ro-RO"/>
        </w:rPr>
        <w:t>ANEXA PROTOCOLULUI DIN 199</w:t>
      </w:r>
      <w:r w:rsidR="00564C0F" w:rsidRPr="00B94E40">
        <w:rPr>
          <w:rFonts w:eastAsia="Times New Roman" w:cs="Times New Roman"/>
          <w:b/>
          <w:szCs w:val="24"/>
          <w:lang w:eastAsia="ro-RO"/>
        </w:rPr>
        <w:t>7 P</w:t>
      </w:r>
      <w:r w:rsidR="00116C4D" w:rsidRPr="00B94E40">
        <w:rPr>
          <w:rFonts w:eastAsia="Times New Roman" w:cs="Times New Roman"/>
          <w:b/>
          <w:szCs w:val="24"/>
          <w:lang w:eastAsia="ro-RO"/>
        </w:rPr>
        <w:t>RIVIND</w:t>
      </w:r>
      <w:r w:rsidR="00564C0F" w:rsidRPr="00B94E40">
        <w:rPr>
          <w:rFonts w:eastAsia="Times New Roman" w:cs="Times New Roman"/>
          <w:b/>
          <w:szCs w:val="24"/>
          <w:lang w:eastAsia="ro-RO"/>
        </w:rPr>
        <w:t xml:space="preserve"> AMENDAREA CONVENȚIEI INTERNAȚIONALE DIN 1973 PENTRU PR</w:t>
      </w:r>
      <w:r w:rsidR="007574C3" w:rsidRPr="00B94E40">
        <w:rPr>
          <w:rFonts w:eastAsia="Times New Roman" w:cs="Times New Roman"/>
          <w:b/>
          <w:szCs w:val="24"/>
          <w:lang w:eastAsia="ro-RO"/>
        </w:rPr>
        <w:t>E</w:t>
      </w:r>
      <w:r w:rsidR="00564C0F" w:rsidRPr="00B94E40">
        <w:rPr>
          <w:rFonts w:eastAsia="Times New Roman" w:cs="Times New Roman"/>
          <w:b/>
          <w:szCs w:val="24"/>
          <w:lang w:eastAsia="ro-RO"/>
        </w:rPr>
        <w:t xml:space="preserve">VENIREA POLUĂRII DE </w:t>
      </w:r>
      <w:r w:rsidR="009C7994" w:rsidRPr="00B94E40">
        <w:rPr>
          <w:rFonts w:eastAsia="Times New Roman" w:cs="Times New Roman"/>
          <w:b/>
          <w:szCs w:val="24"/>
          <w:lang w:eastAsia="ro-RO"/>
        </w:rPr>
        <w:t>CĂTRE</w:t>
      </w:r>
      <w:r w:rsidR="00564C0F" w:rsidRPr="00B94E40">
        <w:rPr>
          <w:rFonts w:eastAsia="Times New Roman" w:cs="Times New Roman"/>
          <w:b/>
          <w:szCs w:val="24"/>
          <w:lang w:eastAsia="ro-RO"/>
        </w:rPr>
        <w:t xml:space="preserve"> NAVE, AȘA CUM A FOST MODIFICATĂ PRIN PROTOCOLUL DIN 1978</w:t>
      </w:r>
      <w:r w:rsidR="00C5137C" w:rsidRPr="00B94E40">
        <w:rPr>
          <w:rFonts w:eastAsia="Times New Roman" w:cs="Times New Roman"/>
          <w:b/>
          <w:szCs w:val="24"/>
          <w:lang w:eastAsia="ro-RO"/>
        </w:rPr>
        <w:t xml:space="preserve"> REFERITOR LA ACEASTA</w:t>
      </w:r>
    </w:p>
    <w:p w:rsidR="004700B5" w:rsidRPr="00B94E40" w:rsidRDefault="004700B5" w:rsidP="004700B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</w:p>
    <w:p w:rsidR="009C7994" w:rsidRPr="00B94E40" w:rsidRDefault="009C7994" w:rsidP="004700B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  <w:r w:rsidRPr="00B94E40">
        <w:rPr>
          <w:rFonts w:eastAsia="Times New Roman" w:cs="Times New Roman"/>
          <w:b/>
          <w:szCs w:val="24"/>
          <w:lang w:eastAsia="ro-RO"/>
        </w:rPr>
        <w:t xml:space="preserve">Amendamente la </w:t>
      </w:r>
      <w:r w:rsidR="0077173A" w:rsidRPr="00B94E40">
        <w:rPr>
          <w:rFonts w:eastAsia="Times New Roman" w:cs="Times New Roman"/>
          <w:b/>
          <w:szCs w:val="24"/>
          <w:lang w:eastAsia="ro-RO"/>
        </w:rPr>
        <w:t xml:space="preserve">Anexa VI la </w:t>
      </w:r>
      <w:r w:rsidRPr="00B94E40">
        <w:rPr>
          <w:rFonts w:eastAsia="Times New Roman" w:cs="Times New Roman"/>
          <w:b/>
          <w:szCs w:val="24"/>
          <w:lang w:eastAsia="ro-RO"/>
        </w:rPr>
        <w:t>MARPOL</w:t>
      </w:r>
    </w:p>
    <w:p w:rsidR="009C7994" w:rsidRPr="00B94E40" w:rsidRDefault="009C7994" w:rsidP="004700B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</w:p>
    <w:p w:rsidR="009C7994" w:rsidRPr="00B94E40" w:rsidRDefault="007574C3" w:rsidP="004700B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  <w:r w:rsidRPr="00B94E40">
        <w:rPr>
          <w:rFonts w:eastAsia="Times New Roman" w:cs="Times New Roman"/>
          <w:b/>
          <w:szCs w:val="24"/>
          <w:lang w:eastAsia="ro-RO"/>
        </w:rPr>
        <w:t>(</w:t>
      </w:r>
      <w:r w:rsidR="004D7D59" w:rsidRPr="00B94E40">
        <w:rPr>
          <w:rFonts w:eastAsia="Times New Roman" w:cs="Times New Roman"/>
          <w:b/>
          <w:szCs w:val="24"/>
          <w:lang w:eastAsia="ro-RO"/>
        </w:rPr>
        <w:t xml:space="preserve">Interzicerea transportului </w:t>
      </w:r>
      <w:r w:rsidR="0043647F" w:rsidRPr="00B94E40">
        <w:rPr>
          <w:rFonts w:eastAsia="Times New Roman" w:cs="Times New Roman"/>
          <w:b/>
          <w:szCs w:val="24"/>
          <w:lang w:eastAsia="ro-RO"/>
        </w:rPr>
        <w:t xml:space="preserve">la bordul unei nave a combustibilului </w:t>
      </w:r>
      <w:r w:rsidR="00B15B6B" w:rsidRPr="00B94E40">
        <w:rPr>
          <w:rFonts w:eastAsia="Times New Roman" w:cs="Times New Roman"/>
          <w:b/>
          <w:szCs w:val="24"/>
          <w:lang w:eastAsia="ro-RO"/>
        </w:rPr>
        <w:t xml:space="preserve">lichid </w:t>
      </w:r>
      <w:r w:rsidR="0043647F" w:rsidRPr="00B94E40">
        <w:rPr>
          <w:rFonts w:eastAsia="Times New Roman" w:cs="Times New Roman"/>
          <w:b/>
          <w:szCs w:val="24"/>
          <w:lang w:eastAsia="ro-RO"/>
        </w:rPr>
        <w:t xml:space="preserve">neconform </w:t>
      </w:r>
      <w:r w:rsidR="00910E81" w:rsidRPr="00B94E40">
        <w:rPr>
          <w:rFonts w:eastAsia="Times New Roman" w:cs="Times New Roman"/>
          <w:b/>
          <w:szCs w:val="24"/>
          <w:lang w:eastAsia="ro-RO"/>
        </w:rPr>
        <w:t>destinat</w:t>
      </w:r>
      <w:r w:rsidR="0043647F" w:rsidRPr="00B94E40">
        <w:rPr>
          <w:rFonts w:eastAsia="Times New Roman" w:cs="Times New Roman"/>
          <w:b/>
          <w:szCs w:val="24"/>
          <w:lang w:eastAsia="ro-RO"/>
        </w:rPr>
        <w:t xml:space="preserve"> </w:t>
      </w:r>
      <w:r w:rsidR="001A1398" w:rsidRPr="00B94E40">
        <w:rPr>
          <w:rFonts w:eastAsia="Times New Roman" w:cs="Times New Roman"/>
          <w:b/>
          <w:szCs w:val="24"/>
          <w:lang w:eastAsia="ro-RO"/>
        </w:rPr>
        <w:t>combustiei</w:t>
      </w:r>
      <w:r w:rsidR="0043647F" w:rsidRPr="00B94E40">
        <w:rPr>
          <w:rFonts w:eastAsia="Times New Roman" w:cs="Times New Roman"/>
          <w:b/>
          <w:szCs w:val="24"/>
          <w:lang w:eastAsia="ro-RO"/>
        </w:rPr>
        <w:t xml:space="preserve"> pentru propulsia</w:t>
      </w:r>
      <w:r w:rsidR="00747645" w:rsidRPr="00B94E40">
        <w:rPr>
          <w:rFonts w:eastAsia="Times New Roman" w:cs="Times New Roman"/>
          <w:b/>
          <w:szCs w:val="24"/>
          <w:lang w:eastAsia="ro-RO"/>
        </w:rPr>
        <w:t xml:space="preserve"> sau </w:t>
      </w:r>
      <w:r w:rsidR="00B07EE9" w:rsidRPr="00B94E40">
        <w:rPr>
          <w:rFonts w:eastAsia="Times New Roman" w:cs="Times New Roman"/>
          <w:b/>
          <w:szCs w:val="24"/>
          <w:lang w:eastAsia="ro-RO"/>
        </w:rPr>
        <w:t>operarea</w:t>
      </w:r>
      <w:r w:rsidR="0043647F" w:rsidRPr="00B94E40">
        <w:rPr>
          <w:rFonts w:eastAsia="Times New Roman" w:cs="Times New Roman"/>
          <w:b/>
          <w:szCs w:val="24"/>
          <w:lang w:eastAsia="ro-RO"/>
        </w:rPr>
        <w:t xml:space="preserve"> </w:t>
      </w:r>
      <w:r w:rsidR="00112B91" w:rsidRPr="00B94E40">
        <w:rPr>
          <w:rFonts w:eastAsia="Times New Roman" w:cs="Times New Roman"/>
          <w:b/>
          <w:szCs w:val="24"/>
          <w:lang w:eastAsia="ro-RO"/>
        </w:rPr>
        <w:t>acesteia</w:t>
      </w:r>
      <w:r w:rsidR="0080078C" w:rsidRPr="00B94E40">
        <w:rPr>
          <w:rFonts w:eastAsia="Times New Roman" w:cs="Times New Roman"/>
          <w:b/>
          <w:szCs w:val="24"/>
          <w:lang w:eastAsia="ro-RO"/>
        </w:rPr>
        <w:t>)</w:t>
      </w:r>
    </w:p>
    <w:p w:rsidR="00BA47D9" w:rsidRPr="00B94E40" w:rsidRDefault="00BA47D9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AA605E" w:rsidRPr="00B94E40" w:rsidRDefault="0080078C" w:rsidP="00323B33">
      <w:pPr>
        <w:rPr>
          <w:rFonts w:eastAsiaTheme="minorEastAsia" w:cs="Times New Roman"/>
          <w:bCs/>
          <w:szCs w:val="24"/>
          <w:highlight w:val="yellow"/>
          <w:lang w:eastAsia="zh-CN"/>
        </w:rPr>
      </w:pPr>
      <w:r w:rsidRPr="00B94E40">
        <w:rPr>
          <w:rFonts w:eastAsiaTheme="minorEastAsia" w:cs="Times New Roman"/>
          <w:bCs/>
          <w:szCs w:val="24"/>
          <w:lang w:eastAsia="zh-CN"/>
        </w:rPr>
        <w:t>COMITETUL PENTRU PROTECŢIA MEDIULUI MARIN,</w:t>
      </w:r>
    </w:p>
    <w:p w:rsidR="00BA47D9" w:rsidRPr="00B94E40" w:rsidRDefault="00BA47D9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BA47D9" w:rsidRPr="00B94E40" w:rsidRDefault="0080078C" w:rsidP="00323B33">
      <w:pPr>
        <w:autoSpaceDE w:val="0"/>
        <w:autoSpaceDN w:val="0"/>
        <w:adjustRightInd w:val="0"/>
        <w:rPr>
          <w:rFonts w:eastAsiaTheme="minorEastAsia" w:cs="Times New Roman"/>
          <w:bCs/>
          <w:szCs w:val="24"/>
          <w:highlight w:val="yellow"/>
          <w:lang w:eastAsia="zh-CN"/>
        </w:rPr>
      </w:pPr>
      <w:r w:rsidRPr="00B94E40">
        <w:rPr>
          <w:rFonts w:eastAsiaTheme="minorEastAsia" w:cs="Times New Roman"/>
          <w:bCs/>
          <w:szCs w:val="24"/>
          <w:lang w:eastAsia="zh-CN"/>
        </w:rPr>
        <w:t>AMINTIND articolul 38(a) al Conven</w:t>
      </w:r>
      <w:r w:rsidR="00F33FC7" w:rsidRPr="00B94E40">
        <w:rPr>
          <w:rFonts w:eastAsiaTheme="minorEastAsia" w:cs="Times New Roman"/>
          <w:bCs/>
          <w:szCs w:val="24"/>
          <w:lang w:eastAsia="zh-CN"/>
        </w:rPr>
        <w:t>ț</w:t>
      </w:r>
      <w:r w:rsidRPr="00B94E40">
        <w:rPr>
          <w:rFonts w:eastAsiaTheme="minorEastAsia" w:cs="Times New Roman"/>
          <w:bCs/>
          <w:szCs w:val="24"/>
          <w:lang w:eastAsia="zh-CN"/>
        </w:rPr>
        <w:t>iei privind crearea Organiza</w:t>
      </w:r>
      <w:r w:rsidR="00F33FC7" w:rsidRPr="00B94E40">
        <w:rPr>
          <w:rFonts w:eastAsiaTheme="minorEastAsia" w:cs="Times New Roman"/>
          <w:bCs/>
          <w:szCs w:val="24"/>
          <w:lang w:eastAsia="zh-CN"/>
        </w:rPr>
        <w:t>ț</w:t>
      </w:r>
      <w:r w:rsidRPr="00B94E40">
        <w:rPr>
          <w:rFonts w:eastAsiaTheme="minorEastAsia" w:cs="Times New Roman"/>
          <w:bCs/>
          <w:szCs w:val="24"/>
          <w:lang w:eastAsia="zh-CN"/>
        </w:rPr>
        <w:t>iei Maritime Interna</w:t>
      </w:r>
      <w:r w:rsidR="00F33FC7" w:rsidRPr="00B94E40">
        <w:rPr>
          <w:rFonts w:eastAsiaTheme="minorEastAsia" w:cs="Times New Roman"/>
          <w:bCs/>
          <w:szCs w:val="24"/>
          <w:lang w:eastAsia="zh-CN"/>
        </w:rPr>
        <w:t>ț</w:t>
      </w:r>
      <w:r w:rsidRPr="00B94E40">
        <w:rPr>
          <w:rFonts w:eastAsiaTheme="minorEastAsia" w:cs="Times New Roman"/>
          <w:bCs/>
          <w:szCs w:val="24"/>
          <w:lang w:eastAsia="zh-CN"/>
        </w:rPr>
        <w:t>ionale referitor la func</w:t>
      </w:r>
      <w:r w:rsidR="00F33FC7" w:rsidRPr="00B94E40">
        <w:rPr>
          <w:rFonts w:eastAsiaTheme="minorEastAsia" w:cs="Times New Roman"/>
          <w:bCs/>
          <w:szCs w:val="24"/>
          <w:lang w:eastAsia="zh-CN"/>
        </w:rPr>
        <w:t>ț</w:t>
      </w:r>
      <w:r w:rsidRPr="00B94E40">
        <w:rPr>
          <w:rFonts w:eastAsiaTheme="minorEastAsia" w:cs="Times New Roman"/>
          <w:bCs/>
          <w:szCs w:val="24"/>
          <w:lang w:eastAsia="zh-CN"/>
        </w:rPr>
        <w:t>iile Comitetului pentru protec</w:t>
      </w:r>
      <w:r w:rsidR="00F33FC7" w:rsidRPr="00B94E40">
        <w:rPr>
          <w:rFonts w:eastAsiaTheme="minorEastAsia" w:cs="Times New Roman"/>
          <w:bCs/>
          <w:szCs w:val="24"/>
          <w:lang w:eastAsia="zh-CN"/>
        </w:rPr>
        <w:t>ț</w:t>
      </w:r>
      <w:r w:rsidRPr="00B94E40">
        <w:rPr>
          <w:rFonts w:eastAsiaTheme="minorEastAsia" w:cs="Times New Roman"/>
          <w:bCs/>
          <w:szCs w:val="24"/>
          <w:lang w:eastAsia="zh-CN"/>
        </w:rPr>
        <w:t>ia mediului marin conferite acestuia prin conven</w:t>
      </w:r>
      <w:r w:rsidR="00F33FC7" w:rsidRPr="00B94E40">
        <w:rPr>
          <w:rFonts w:eastAsiaTheme="minorEastAsia" w:cs="Times New Roman"/>
          <w:bCs/>
          <w:szCs w:val="24"/>
          <w:lang w:eastAsia="zh-CN"/>
        </w:rPr>
        <w:t>ț</w:t>
      </w:r>
      <w:r w:rsidRPr="00B94E40">
        <w:rPr>
          <w:rFonts w:eastAsiaTheme="minorEastAsia" w:cs="Times New Roman"/>
          <w:bCs/>
          <w:szCs w:val="24"/>
          <w:lang w:eastAsia="zh-CN"/>
        </w:rPr>
        <w:t>iile interna</w:t>
      </w:r>
      <w:r w:rsidR="00F33FC7" w:rsidRPr="00B94E40">
        <w:rPr>
          <w:rFonts w:eastAsiaTheme="minorEastAsia" w:cs="Times New Roman"/>
          <w:bCs/>
          <w:szCs w:val="24"/>
          <w:lang w:eastAsia="zh-CN"/>
        </w:rPr>
        <w:t>ț</w:t>
      </w:r>
      <w:r w:rsidRPr="00B94E40">
        <w:rPr>
          <w:rFonts w:eastAsiaTheme="minorEastAsia" w:cs="Times New Roman"/>
          <w:bCs/>
          <w:szCs w:val="24"/>
          <w:lang w:eastAsia="zh-CN"/>
        </w:rPr>
        <w:t xml:space="preserve">ionale pentru prevenirea </w:t>
      </w:r>
      <w:r w:rsidR="00F33FC7" w:rsidRPr="00B94E40">
        <w:rPr>
          <w:rFonts w:eastAsiaTheme="minorEastAsia" w:cs="Times New Roman"/>
          <w:bCs/>
          <w:szCs w:val="24"/>
          <w:lang w:eastAsia="zh-CN"/>
        </w:rPr>
        <w:t>ș</w:t>
      </w:r>
      <w:r w:rsidRPr="00B94E40">
        <w:rPr>
          <w:rFonts w:eastAsiaTheme="minorEastAsia" w:cs="Times New Roman"/>
          <w:bCs/>
          <w:szCs w:val="24"/>
          <w:lang w:eastAsia="zh-CN"/>
        </w:rPr>
        <w:t>i controlul poluării marine de către nave,</w:t>
      </w:r>
    </w:p>
    <w:p w:rsidR="007574C3" w:rsidRPr="00B94E40" w:rsidRDefault="007574C3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4459CD" w:rsidRPr="00B94E40" w:rsidRDefault="004459CD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  <w:r w:rsidRPr="00B94E40">
        <w:rPr>
          <w:rFonts w:cs="Times New Roman"/>
          <w:szCs w:val="24"/>
        </w:rPr>
        <w:t xml:space="preserve">LUÂND NOTĂ de </w:t>
      </w:r>
      <w:r w:rsidR="00696DC4" w:rsidRPr="00B94E40">
        <w:rPr>
          <w:rFonts w:cs="Times New Roman"/>
          <w:szCs w:val="24"/>
        </w:rPr>
        <w:t>articolu</w:t>
      </w:r>
      <w:r w:rsidR="007574C3" w:rsidRPr="00B94E40">
        <w:rPr>
          <w:rFonts w:cs="Times New Roman"/>
          <w:szCs w:val="24"/>
        </w:rPr>
        <w:t>l 16 al Convenției internaționale din 1973 pentru prevenirea poluării de către n</w:t>
      </w:r>
      <w:r w:rsidR="00696DC4" w:rsidRPr="00B94E40">
        <w:rPr>
          <w:rFonts w:cs="Times New Roman"/>
          <w:szCs w:val="24"/>
        </w:rPr>
        <w:t>ave, așa cum a</w:t>
      </w:r>
      <w:r w:rsidR="007574C3" w:rsidRPr="00B94E40">
        <w:rPr>
          <w:rFonts w:cs="Times New Roman"/>
          <w:szCs w:val="24"/>
        </w:rPr>
        <w:t xml:space="preserve"> fost modificată prin Protocoalele din</w:t>
      </w:r>
      <w:r w:rsidR="00696DC4" w:rsidRPr="00B94E40">
        <w:rPr>
          <w:rFonts w:cs="Times New Roman"/>
          <w:szCs w:val="24"/>
        </w:rPr>
        <w:t xml:space="preserve"> 1978 și 1997 referito</w:t>
      </w:r>
      <w:r w:rsidR="007574C3" w:rsidRPr="00B94E40">
        <w:rPr>
          <w:rFonts w:cs="Times New Roman"/>
          <w:szCs w:val="24"/>
        </w:rPr>
        <w:t>a</w:t>
      </w:r>
      <w:r w:rsidR="00696DC4" w:rsidRPr="00B94E40">
        <w:rPr>
          <w:rFonts w:cs="Times New Roman"/>
          <w:szCs w:val="24"/>
        </w:rPr>
        <w:t>r</w:t>
      </w:r>
      <w:r w:rsidR="007574C3" w:rsidRPr="00B94E40">
        <w:rPr>
          <w:rFonts w:cs="Times New Roman"/>
          <w:szCs w:val="24"/>
        </w:rPr>
        <w:t>e</w:t>
      </w:r>
      <w:r w:rsidR="00696DC4" w:rsidRPr="00B94E40">
        <w:rPr>
          <w:rFonts w:cs="Times New Roman"/>
          <w:szCs w:val="24"/>
        </w:rPr>
        <w:t xml:space="preserve"> la aceasta (MARPOL), care specifică </w:t>
      </w:r>
      <w:r w:rsidR="00190F32" w:rsidRPr="00B94E40">
        <w:rPr>
          <w:rFonts w:cs="Times New Roman"/>
          <w:szCs w:val="24"/>
        </w:rPr>
        <w:t>procedura de amendare și conferă organismului c</w:t>
      </w:r>
      <w:r w:rsidR="0077173A" w:rsidRPr="00B94E40">
        <w:rPr>
          <w:rFonts w:cs="Times New Roman"/>
          <w:szCs w:val="24"/>
        </w:rPr>
        <w:t>orespunzător</w:t>
      </w:r>
      <w:r w:rsidR="00696DC4" w:rsidRPr="00B94E40">
        <w:rPr>
          <w:rFonts w:cs="Times New Roman"/>
          <w:szCs w:val="24"/>
        </w:rPr>
        <w:t xml:space="preserve"> </w:t>
      </w:r>
      <w:r w:rsidR="00190F32" w:rsidRPr="00B94E40">
        <w:rPr>
          <w:rFonts w:cs="Times New Roman"/>
          <w:szCs w:val="24"/>
        </w:rPr>
        <w:t xml:space="preserve">al Organizației funcția de </w:t>
      </w:r>
      <w:r w:rsidR="0077173A" w:rsidRPr="00B94E40">
        <w:rPr>
          <w:rFonts w:cs="Times New Roman"/>
          <w:szCs w:val="24"/>
        </w:rPr>
        <w:t>examinare a amendamentelor</w:t>
      </w:r>
      <w:r w:rsidR="00190F32" w:rsidRPr="00B94E40">
        <w:rPr>
          <w:rFonts w:cs="Times New Roman"/>
          <w:szCs w:val="24"/>
        </w:rPr>
        <w:t xml:space="preserve"> la aceasta </w:t>
      </w:r>
      <w:r w:rsidR="0077173A" w:rsidRPr="00B94E40">
        <w:rPr>
          <w:rFonts w:cs="Times New Roman"/>
          <w:szCs w:val="24"/>
        </w:rPr>
        <w:t xml:space="preserve">în vederea adoptării </w:t>
      </w:r>
      <w:r w:rsidR="00190F32" w:rsidRPr="00B94E40">
        <w:rPr>
          <w:rFonts w:cs="Times New Roman"/>
          <w:szCs w:val="24"/>
        </w:rPr>
        <w:t>de către Părți,</w:t>
      </w:r>
    </w:p>
    <w:p w:rsidR="00BA47D9" w:rsidRPr="00B94E40" w:rsidRDefault="00BA47D9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800470" w:rsidRPr="00B94E40" w:rsidRDefault="00190F32" w:rsidP="00323B33">
      <w:pPr>
        <w:rPr>
          <w:rFonts w:eastAsiaTheme="minorEastAsia" w:cs="Times New Roman"/>
          <w:szCs w:val="24"/>
          <w:lang w:eastAsia="zh-CN"/>
        </w:rPr>
      </w:pPr>
      <w:r w:rsidRPr="00B94E40">
        <w:rPr>
          <w:rFonts w:eastAsiaTheme="minorEastAsia" w:cs="Times New Roman"/>
          <w:szCs w:val="24"/>
          <w:lang w:eastAsia="zh-CN"/>
        </w:rPr>
        <w:t>LUÂND ÎN CONSIDERARE, la cea de-a ș</w:t>
      </w:r>
      <w:r w:rsidR="003B14A9" w:rsidRPr="00B94E40">
        <w:rPr>
          <w:rFonts w:eastAsiaTheme="minorEastAsia" w:cs="Times New Roman"/>
          <w:szCs w:val="24"/>
          <w:lang w:eastAsia="zh-CN"/>
        </w:rPr>
        <w:t>aptezeci și treia</w:t>
      </w:r>
      <w:r w:rsidR="0010685F" w:rsidRPr="00B94E40">
        <w:rPr>
          <w:rFonts w:eastAsiaTheme="minorEastAsia" w:cs="Times New Roman"/>
          <w:szCs w:val="24"/>
          <w:lang w:eastAsia="zh-CN"/>
        </w:rPr>
        <w:t xml:space="preserve"> </w:t>
      </w:r>
      <w:r w:rsidRPr="00B94E40">
        <w:rPr>
          <w:rFonts w:eastAsiaTheme="minorEastAsia" w:cs="Times New Roman"/>
          <w:szCs w:val="24"/>
          <w:lang w:eastAsia="zh-CN"/>
        </w:rPr>
        <w:t>sesiune</w:t>
      </w:r>
      <w:r w:rsidR="0010685F" w:rsidRPr="00B94E40">
        <w:rPr>
          <w:rFonts w:eastAsiaTheme="minorEastAsia" w:cs="Times New Roman"/>
          <w:szCs w:val="24"/>
          <w:lang w:eastAsia="zh-CN"/>
        </w:rPr>
        <w:t xml:space="preserve"> a sa</w:t>
      </w:r>
      <w:r w:rsidRPr="00B94E40">
        <w:rPr>
          <w:rFonts w:eastAsiaTheme="minorEastAsia" w:cs="Times New Roman"/>
          <w:szCs w:val="24"/>
          <w:lang w:eastAsia="zh-CN"/>
        </w:rPr>
        <w:t xml:space="preserve">, amendamentele propuse </w:t>
      </w:r>
      <w:r w:rsidR="00223822" w:rsidRPr="00B94E40">
        <w:rPr>
          <w:rFonts w:eastAsiaTheme="minorEastAsia" w:cs="Times New Roman"/>
          <w:szCs w:val="24"/>
          <w:lang w:eastAsia="zh-CN"/>
        </w:rPr>
        <w:t xml:space="preserve">la </w:t>
      </w:r>
      <w:r w:rsidR="0010685F" w:rsidRPr="00B94E40">
        <w:rPr>
          <w:rFonts w:eastAsiaTheme="minorEastAsia" w:cs="Times New Roman"/>
          <w:szCs w:val="24"/>
          <w:lang w:eastAsia="zh-CN"/>
        </w:rPr>
        <w:t xml:space="preserve">Anexa VI la MARPOL </w:t>
      </w:r>
      <w:r w:rsidR="00223822" w:rsidRPr="00B94E40">
        <w:rPr>
          <w:rFonts w:eastAsiaTheme="minorEastAsia" w:cs="Times New Roman"/>
          <w:szCs w:val="24"/>
          <w:lang w:eastAsia="zh-CN"/>
        </w:rPr>
        <w:t xml:space="preserve">referitoare la </w:t>
      </w:r>
      <w:r w:rsidR="003B14A9" w:rsidRPr="00B94E40">
        <w:rPr>
          <w:rFonts w:eastAsiaTheme="minorEastAsia" w:cs="Times New Roman"/>
          <w:szCs w:val="24"/>
          <w:lang w:eastAsia="zh-CN"/>
        </w:rPr>
        <w:t xml:space="preserve">interzicerea transportului </w:t>
      </w:r>
      <w:r w:rsidR="00B07EE9" w:rsidRPr="00B94E40">
        <w:rPr>
          <w:rFonts w:eastAsiaTheme="minorEastAsia" w:cs="Times New Roman"/>
          <w:szCs w:val="24"/>
          <w:lang w:eastAsia="zh-CN"/>
        </w:rPr>
        <w:t xml:space="preserve">la bordul unei nave a combustibilului neconform </w:t>
      </w:r>
      <w:r w:rsidR="00112B91" w:rsidRPr="00B94E40">
        <w:rPr>
          <w:rFonts w:eastAsiaTheme="minorEastAsia" w:cs="Times New Roman"/>
          <w:szCs w:val="24"/>
          <w:lang w:eastAsia="zh-CN"/>
        </w:rPr>
        <w:t>destinat combustiei</w:t>
      </w:r>
      <w:r w:rsidR="00B07EE9" w:rsidRPr="00B94E40">
        <w:rPr>
          <w:rFonts w:eastAsiaTheme="minorEastAsia" w:cs="Times New Roman"/>
          <w:szCs w:val="24"/>
          <w:lang w:eastAsia="zh-CN"/>
        </w:rPr>
        <w:t xml:space="preserve"> pentru propulsia sau operarea </w:t>
      </w:r>
      <w:r w:rsidR="00112B91" w:rsidRPr="00B94E40">
        <w:rPr>
          <w:rFonts w:eastAsiaTheme="minorEastAsia" w:cs="Times New Roman"/>
          <w:szCs w:val="24"/>
          <w:lang w:eastAsia="zh-CN"/>
        </w:rPr>
        <w:t>acesteia</w:t>
      </w:r>
      <w:r w:rsidR="00800470" w:rsidRPr="00B94E40">
        <w:rPr>
          <w:rFonts w:eastAsiaTheme="minorEastAsia" w:cs="Times New Roman"/>
          <w:szCs w:val="24"/>
          <w:lang w:eastAsia="zh-CN"/>
        </w:rPr>
        <w:t>,</w:t>
      </w:r>
    </w:p>
    <w:p w:rsidR="00BA47D9" w:rsidRPr="00B94E40" w:rsidRDefault="00BA47D9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  <w:bookmarkStart w:id="0" w:name="_GoBack"/>
      <w:bookmarkEnd w:id="0"/>
    </w:p>
    <w:p w:rsidR="00BA47D9" w:rsidRPr="00B94E40" w:rsidRDefault="00800470" w:rsidP="00323B33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B94E40">
        <w:rPr>
          <w:rFonts w:cs="Times New Roman"/>
          <w:szCs w:val="24"/>
        </w:rPr>
        <w:t>1</w:t>
      </w:r>
      <w:r w:rsidR="007632F7" w:rsidRPr="00B94E40">
        <w:rPr>
          <w:rFonts w:cs="Times New Roman"/>
          <w:szCs w:val="24"/>
        </w:rPr>
        <w:tab/>
      </w:r>
      <w:r w:rsidR="001F3BC9" w:rsidRPr="00B94E40">
        <w:rPr>
          <w:rFonts w:cs="Times New Roman"/>
          <w:szCs w:val="24"/>
        </w:rPr>
        <w:t>ADOPT</w:t>
      </w:r>
      <w:r w:rsidR="00005C05" w:rsidRPr="00B94E40">
        <w:rPr>
          <w:rFonts w:cs="Times New Roman"/>
          <w:szCs w:val="24"/>
        </w:rPr>
        <w:t>Ă</w:t>
      </w:r>
      <w:r w:rsidRPr="00B94E40">
        <w:rPr>
          <w:rFonts w:cs="Times New Roman"/>
          <w:szCs w:val="24"/>
        </w:rPr>
        <w:t>, în conformitate cu a</w:t>
      </w:r>
      <w:r w:rsidR="009327EB" w:rsidRPr="00B94E40">
        <w:rPr>
          <w:rFonts w:cs="Times New Roman"/>
          <w:szCs w:val="24"/>
        </w:rPr>
        <w:t xml:space="preserve">rticolul </w:t>
      </w:r>
      <w:r w:rsidR="00661ADD" w:rsidRPr="00B94E40">
        <w:rPr>
          <w:rFonts w:cs="Times New Roman"/>
          <w:szCs w:val="24"/>
        </w:rPr>
        <w:t xml:space="preserve">16(2)(d) </w:t>
      </w:r>
      <w:r w:rsidR="009366AD" w:rsidRPr="00B94E40">
        <w:rPr>
          <w:rFonts w:cs="Times New Roman"/>
          <w:szCs w:val="24"/>
        </w:rPr>
        <w:t>al</w:t>
      </w:r>
      <w:r w:rsidR="00C25DD7" w:rsidRPr="00B94E40">
        <w:rPr>
          <w:rFonts w:cs="Times New Roman"/>
          <w:szCs w:val="24"/>
        </w:rPr>
        <w:t xml:space="preserve"> MARPOL, amendamentele la </w:t>
      </w:r>
      <w:r w:rsidR="009366AD" w:rsidRPr="00B94E40">
        <w:rPr>
          <w:rFonts w:cs="Times New Roman"/>
          <w:szCs w:val="24"/>
        </w:rPr>
        <w:t>Anexa VI la MARPOL</w:t>
      </w:r>
      <w:r w:rsidR="00C25DD7" w:rsidRPr="00B94E40">
        <w:rPr>
          <w:rFonts w:cs="Times New Roman"/>
          <w:szCs w:val="24"/>
        </w:rPr>
        <w:t xml:space="preserve">, al căror text este redat </w:t>
      </w:r>
      <w:r w:rsidR="007632F7" w:rsidRPr="00B94E40">
        <w:rPr>
          <w:rFonts w:cs="Times New Roman"/>
          <w:szCs w:val="24"/>
        </w:rPr>
        <w:t>în anexa la prezenta rezoluție;</w:t>
      </w:r>
    </w:p>
    <w:p w:rsidR="00800470" w:rsidRPr="00B94E40" w:rsidRDefault="00800470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D91784" w:rsidRPr="00B94E40" w:rsidRDefault="007632F7" w:rsidP="00323B33">
      <w:pPr>
        <w:tabs>
          <w:tab w:val="left" w:pos="1134"/>
        </w:tabs>
        <w:autoSpaceDE w:val="0"/>
        <w:autoSpaceDN w:val="0"/>
        <w:adjustRightInd w:val="0"/>
        <w:rPr>
          <w:rStyle w:val="hps"/>
          <w:rFonts w:cs="Times New Roman"/>
          <w:szCs w:val="24"/>
        </w:rPr>
      </w:pPr>
      <w:r w:rsidRPr="00B94E40">
        <w:rPr>
          <w:rFonts w:cs="Times New Roman"/>
          <w:szCs w:val="24"/>
        </w:rPr>
        <w:t>2</w:t>
      </w:r>
      <w:r w:rsidRPr="00B94E40">
        <w:rPr>
          <w:rFonts w:cs="Times New Roman"/>
          <w:szCs w:val="24"/>
        </w:rPr>
        <w:tab/>
      </w:r>
      <w:r w:rsidR="00A51EE3" w:rsidRPr="00B94E40">
        <w:rPr>
          <w:rFonts w:cs="Times New Roman"/>
          <w:szCs w:val="24"/>
        </w:rPr>
        <w:t>STABILEȘT</w:t>
      </w:r>
      <w:r w:rsidR="00661ADD" w:rsidRPr="00B94E40">
        <w:rPr>
          <w:rFonts w:cs="Times New Roman"/>
          <w:szCs w:val="24"/>
        </w:rPr>
        <w:t>E, în conformitate cu a</w:t>
      </w:r>
      <w:r w:rsidR="00A51EE3" w:rsidRPr="00B94E40">
        <w:rPr>
          <w:rFonts w:cs="Times New Roman"/>
          <w:szCs w:val="24"/>
        </w:rPr>
        <w:t xml:space="preserve">rticolul </w:t>
      </w:r>
      <w:r w:rsidR="00661ADD" w:rsidRPr="00B94E40">
        <w:rPr>
          <w:rFonts w:cs="Times New Roman"/>
          <w:szCs w:val="24"/>
        </w:rPr>
        <w:t>16(2)(f)(iii)</w:t>
      </w:r>
      <w:r w:rsidR="00A51EE3" w:rsidRPr="00B94E40">
        <w:rPr>
          <w:rFonts w:cs="Times New Roman"/>
          <w:szCs w:val="24"/>
        </w:rPr>
        <w:t xml:space="preserve"> </w:t>
      </w:r>
      <w:r w:rsidR="009366AD" w:rsidRPr="00B94E40">
        <w:rPr>
          <w:rFonts w:cs="Times New Roman"/>
          <w:szCs w:val="24"/>
        </w:rPr>
        <w:t>al</w:t>
      </w:r>
      <w:r w:rsidR="00A51EE3" w:rsidRPr="00B94E40">
        <w:rPr>
          <w:rFonts w:cs="Times New Roman"/>
          <w:szCs w:val="24"/>
        </w:rPr>
        <w:t xml:space="preserve"> </w:t>
      </w:r>
      <w:r w:rsidR="00661ADD" w:rsidRPr="00B94E40">
        <w:rPr>
          <w:rFonts w:cs="Times New Roman"/>
          <w:szCs w:val="24"/>
        </w:rPr>
        <w:t>MARPOL</w:t>
      </w:r>
      <w:r w:rsidR="00A51EE3" w:rsidRPr="00B94E40">
        <w:rPr>
          <w:rFonts w:cs="Times New Roman"/>
          <w:szCs w:val="24"/>
        </w:rPr>
        <w:t xml:space="preserve">, că amendamentele menționate trebuie considerate ca fiind acceptate </w:t>
      </w:r>
      <w:r w:rsidR="00340087" w:rsidRPr="00B94E40">
        <w:rPr>
          <w:rFonts w:cs="Times New Roman"/>
          <w:szCs w:val="24"/>
        </w:rPr>
        <w:t>la</w:t>
      </w:r>
      <w:r w:rsidR="007574C3" w:rsidRPr="00B94E40">
        <w:rPr>
          <w:rFonts w:cs="Times New Roman"/>
          <w:szCs w:val="24"/>
        </w:rPr>
        <w:t xml:space="preserve"> </w:t>
      </w:r>
      <w:r w:rsidR="008968F7" w:rsidRPr="00B94E40">
        <w:rPr>
          <w:rFonts w:cs="Times New Roman"/>
          <w:szCs w:val="24"/>
        </w:rPr>
        <w:t xml:space="preserve">1 </w:t>
      </w:r>
      <w:r w:rsidR="003B3F1D" w:rsidRPr="00B94E40">
        <w:rPr>
          <w:rFonts w:cs="Times New Roman"/>
          <w:szCs w:val="24"/>
        </w:rPr>
        <w:t>septembrie</w:t>
      </w:r>
      <w:r w:rsidR="008968F7" w:rsidRPr="00B94E40">
        <w:rPr>
          <w:rFonts w:cs="Times New Roman"/>
          <w:szCs w:val="24"/>
        </w:rPr>
        <w:t xml:space="preserve"> 2019, </w:t>
      </w:r>
      <w:r w:rsidR="00340087" w:rsidRPr="00B94E40">
        <w:rPr>
          <w:rFonts w:cs="Times New Roman"/>
          <w:szCs w:val="24"/>
        </w:rPr>
        <w:t>în afara cazului</w:t>
      </w:r>
      <w:r w:rsidR="008968F7" w:rsidRPr="00B94E40">
        <w:rPr>
          <w:rFonts w:cs="Times New Roman"/>
          <w:szCs w:val="24"/>
        </w:rPr>
        <w:t xml:space="preserve"> în care, până la această dată, </w:t>
      </w:r>
      <w:r w:rsidR="00340087" w:rsidRPr="00B94E40">
        <w:rPr>
          <w:rFonts w:cs="Times New Roman"/>
          <w:szCs w:val="24"/>
        </w:rPr>
        <w:t>cel puțin</w:t>
      </w:r>
      <w:r w:rsidR="008968F7" w:rsidRPr="00B94E40">
        <w:rPr>
          <w:rFonts w:cs="Times New Roman"/>
          <w:szCs w:val="24"/>
        </w:rPr>
        <w:t xml:space="preserve"> o treime din</w:t>
      </w:r>
      <w:r w:rsidR="00005C05" w:rsidRPr="00B94E40">
        <w:rPr>
          <w:rFonts w:cs="Times New Roman"/>
          <w:szCs w:val="24"/>
        </w:rPr>
        <w:t xml:space="preserve"> </w:t>
      </w:r>
      <w:r w:rsidR="00693372" w:rsidRPr="00B94E40">
        <w:rPr>
          <w:rFonts w:cs="Times New Roman"/>
          <w:szCs w:val="24"/>
        </w:rPr>
        <w:t>Părți</w:t>
      </w:r>
      <w:r w:rsidR="008968F7" w:rsidRPr="00B94E40">
        <w:rPr>
          <w:rFonts w:cs="Times New Roman"/>
          <w:szCs w:val="24"/>
        </w:rPr>
        <w:t xml:space="preserve"> </w:t>
      </w:r>
      <w:r w:rsidR="000861C4" w:rsidRPr="00B94E40">
        <w:rPr>
          <w:rFonts w:cs="Times New Roman"/>
          <w:szCs w:val="24"/>
        </w:rPr>
        <w:t xml:space="preserve">sau </w:t>
      </w:r>
      <w:r w:rsidR="00693372" w:rsidRPr="00B94E40">
        <w:rPr>
          <w:rFonts w:cs="Times New Roman"/>
          <w:szCs w:val="24"/>
        </w:rPr>
        <w:t>Părțile</w:t>
      </w:r>
      <w:r w:rsidR="000861C4" w:rsidRPr="00B94E40">
        <w:rPr>
          <w:rFonts w:cs="Times New Roman"/>
          <w:szCs w:val="24"/>
        </w:rPr>
        <w:t xml:space="preserve"> </w:t>
      </w:r>
      <w:r w:rsidR="00EB67FF" w:rsidRPr="00B94E40">
        <w:rPr>
          <w:rFonts w:cs="Times New Roman"/>
          <w:szCs w:val="24"/>
        </w:rPr>
        <w:t xml:space="preserve">ale căror flote </w:t>
      </w:r>
      <w:r w:rsidR="00340087" w:rsidRPr="00B94E40">
        <w:rPr>
          <w:rFonts w:cs="Times New Roman"/>
          <w:szCs w:val="24"/>
        </w:rPr>
        <w:t>comerciale combinate</w:t>
      </w:r>
      <w:r w:rsidR="00EB67FF" w:rsidRPr="00B94E40">
        <w:rPr>
          <w:rFonts w:cs="Times New Roman"/>
          <w:szCs w:val="24"/>
        </w:rPr>
        <w:t xml:space="preserve"> </w:t>
      </w:r>
      <w:r w:rsidR="00340087" w:rsidRPr="00B94E40">
        <w:rPr>
          <w:rFonts w:cs="Times New Roman"/>
          <w:szCs w:val="24"/>
        </w:rPr>
        <w:t>reprezintă în total nu</w:t>
      </w:r>
      <w:r w:rsidR="00EB67FF" w:rsidRPr="00B94E40">
        <w:rPr>
          <w:rFonts w:cs="Times New Roman"/>
          <w:szCs w:val="24"/>
        </w:rPr>
        <w:t xml:space="preserve"> mai </w:t>
      </w:r>
      <w:r w:rsidR="00340087" w:rsidRPr="00B94E40">
        <w:rPr>
          <w:rFonts w:cs="Times New Roman"/>
          <w:szCs w:val="24"/>
        </w:rPr>
        <w:t>puțin</w:t>
      </w:r>
      <w:r w:rsidR="00EB67FF" w:rsidRPr="00B94E40">
        <w:rPr>
          <w:rFonts w:cs="Times New Roman"/>
          <w:szCs w:val="24"/>
        </w:rPr>
        <w:t xml:space="preserve"> de 50% din tonajul brut al flotei comerciale mondiale, </w:t>
      </w:r>
      <w:r w:rsidR="00340087" w:rsidRPr="00B94E40">
        <w:rPr>
          <w:rFonts w:cs="Times New Roman"/>
          <w:szCs w:val="24"/>
        </w:rPr>
        <w:t>vor fi comunicat</w:t>
      </w:r>
      <w:r w:rsidR="00695670" w:rsidRPr="00B94E40">
        <w:rPr>
          <w:rFonts w:cs="Times New Roman"/>
          <w:szCs w:val="24"/>
        </w:rPr>
        <w:t xml:space="preserve"> </w:t>
      </w:r>
      <w:r w:rsidR="00EB67FF" w:rsidRPr="00B94E40">
        <w:rPr>
          <w:rFonts w:cs="Times New Roman"/>
          <w:szCs w:val="24"/>
        </w:rPr>
        <w:t xml:space="preserve">Organizației obiecțiile </w:t>
      </w:r>
      <w:r w:rsidR="00340087" w:rsidRPr="00B94E40">
        <w:rPr>
          <w:rFonts w:cs="Times New Roman"/>
          <w:szCs w:val="24"/>
        </w:rPr>
        <w:t>lor cu privire la</w:t>
      </w:r>
      <w:r w:rsidR="00B62EE5" w:rsidRPr="00B94E40">
        <w:rPr>
          <w:rFonts w:cs="Times New Roman"/>
          <w:szCs w:val="24"/>
        </w:rPr>
        <w:t xml:space="preserve"> amendamente</w:t>
      </w:r>
      <w:r w:rsidRPr="00B94E40">
        <w:rPr>
          <w:rFonts w:cs="Times New Roman"/>
          <w:szCs w:val="24"/>
        </w:rPr>
        <w:t>;</w:t>
      </w:r>
    </w:p>
    <w:p w:rsidR="00BA47D9" w:rsidRPr="00B94E40" w:rsidRDefault="00BA47D9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005C05" w:rsidRPr="00B94E40" w:rsidRDefault="007632F7" w:rsidP="00323B33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B94E40">
        <w:rPr>
          <w:rFonts w:cs="Times New Roman"/>
          <w:szCs w:val="24"/>
        </w:rPr>
        <w:t>3</w:t>
      </w:r>
      <w:r w:rsidRPr="00B94E40">
        <w:rPr>
          <w:rFonts w:cs="Times New Roman"/>
          <w:szCs w:val="24"/>
        </w:rPr>
        <w:tab/>
      </w:r>
      <w:r w:rsidR="000861C4" w:rsidRPr="00B94E40">
        <w:rPr>
          <w:rFonts w:cs="Times New Roman"/>
          <w:szCs w:val="24"/>
        </w:rPr>
        <w:t xml:space="preserve">INVITĂ </w:t>
      </w:r>
      <w:r w:rsidR="001E2A62" w:rsidRPr="00B94E40">
        <w:rPr>
          <w:rFonts w:cs="Times New Roman"/>
          <w:szCs w:val="24"/>
        </w:rPr>
        <w:t>Părțile</w:t>
      </w:r>
      <w:r w:rsidR="000861C4" w:rsidRPr="00B94E40">
        <w:rPr>
          <w:rFonts w:cs="Times New Roman"/>
          <w:szCs w:val="24"/>
        </w:rPr>
        <w:t xml:space="preserve"> să ia notă de</w:t>
      </w:r>
      <w:r w:rsidR="001E2A62" w:rsidRPr="00B94E40">
        <w:rPr>
          <w:rFonts w:cs="Times New Roman"/>
          <w:szCs w:val="24"/>
        </w:rPr>
        <w:t xml:space="preserve"> faptul că, în conformitate cu a</w:t>
      </w:r>
      <w:r w:rsidR="000861C4" w:rsidRPr="00B94E40">
        <w:rPr>
          <w:rFonts w:cs="Times New Roman"/>
          <w:szCs w:val="24"/>
        </w:rPr>
        <w:t xml:space="preserve">rticolul </w:t>
      </w:r>
      <w:r w:rsidR="001E2A62" w:rsidRPr="00B94E40">
        <w:rPr>
          <w:rFonts w:cs="Times New Roman"/>
          <w:szCs w:val="24"/>
        </w:rPr>
        <w:t>16(2)(g)(ii)</w:t>
      </w:r>
      <w:r w:rsidR="000861C4" w:rsidRPr="00B94E40">
        <w:rPr>
          <w:rFonts w:cs="Times New Roman"/>
          <w:szCs w:val="24"/>
        </w:rPr>
        <w:t xml:space="preserve"> </w:t>
      </w:r>
      <w:r w:rsidR="008D6BA0" w:rsidRPr="00B94E40">
        <w:rPr>
          <w:rFonts w:cs="Times New Roman"/>
          <w:szCs w:val="24"/>
        </w:rPr>
        <w:t>al</w:t>
      </w:r>
      <w:r w:rsidR="000861C4" w:rsidRPr="00B94E40">
        <w:rPr>
          <w:rFonts w:cs="Times New Roman"/>
          <w:szCs w:val="24"/>
        </w:rPr>
        <w:t xml:space="preserve"> </w:t>
      </w:r>
      <w:r w:rsidR="001E2A62" w:rsidRPr="00B94E40">
        <w:rPr>
          <w:rFonts w:cs="Times New Roman"/>
          <w:szCs w:val="24"/>
        </w:rPr>
        <w:t>MARPOL</w:t>
      </w:r>
      <w:r w:rsidR="000861C4" w:rsidRPr="00B94E40">
        <w:rPr>
          <w:rFonts w:cs="Times New Roman"/>
          <w:szCs w:val="24"/>
        </w:rPr>
        <w:t xml:space="preserve">, </w:t>
      </w:r>
      <w:r w:rsidR="00695670" w:rsidRPr="00B94E40">
        <w:rPr>
          <w:rFonts w:cs="Times New Roman"/>
          <w:szCs w:val="24"/>
        </w:rPr>
        <w:t xml:space="preserve">amendamentele </w:t>
      </w:r>
      <w:r w:rsidR="00FB515D" w:rsidRPr="00B94E40">
        <w:rPr>
          <w:rFonts w:cs="Times New Roman"/>
          <w:szCs w:val="24"/>
        </w:rPr>
        <w:t>menționate vor</w:t>
      </w:r>
      <w:r w:rsidR="001E2A62" w:rsidRPr="00B94E40">
        <w:rPr>
          <w:rFonts w:cs="Times New Roman"/>
          <w:szCs w:val="24"/>
        </w:rPr>
        <w:t xml:space="preserve"> </w:t>
      </w:r>
      <w:r w:rsidR="007574C3" w:rsidRPr="00B94E40">
        <w:rPr>
          <w:rFonts w:cs="Times New Roman"/>
          <w:szCs w:val="24"/>
        </w:rPr>
        <w:t>intra</w:t>
      </w:r>
      <w:r w:rsidR="000861C4" w:rsidRPr="00B94E40">
        <w:rPr>
          <w:rFonts w:cs="Times New Roman"/>
          <w:szCs w:val="24"/>
        </w:rPr>
        <w:t xml:space="preserve"> în vigoare </w:t>
      </w:r>
      <w:r w:rsidR="00FB515D" w:rsidRPr="00B94E40">
        <w:rPr>
          <w:rFonts w:cs="Times New Roman"/>
          <w:szCs w:val="24"/>
        </w:rPr>
        <w:t>la</w:t>
      </w:r>
      <w:r w:rsidR="007574C3" w:rsidRPr="00B94E40">
        <w:rPr>
          <w:rFonts w:cs="Times New Roman"/>
          <w:szCs w:val="24"/>
        </w:rPr>
        <w:t xml:space="preserve"> </w:t>
      </w:r>
      <w:r w:rsidR="000861C4" w:rsidRPr="00B94E40">
        <w:rPr>
          <w:rFonts w:cs="Times New Roman"/>
          <w:szCs w:val="24"/>
        </w:rPr>
        <w:t xml:space="preserve">1 </w:t>
      </w:r>
      <w:r w:rsidR="00084690" w:rsidRPr="00B94E40">
        <w:rPr>
          <w:rFonts w:cs="Times New Roman"/>
          <w:szCs w:val="24"/>
        </w:rPr>
        <w:t>martie 2020</w:t>
      </w:r>
      <w:r w:rsidR="00FB515D" w:rsidRPr="00B94E40">
        <w:rPr>
          <w:rFonts w:cs="Times New Roman"/>
          <w:szCs w:val="24"/>
        </w:rPr>
        <w:t>,</w:t>
      </w:r>
      <w:r w:rsidR="000861C4" w:rsidRPr="00B94E40">
        <w:rPr>
          <w:rFonts w:cs="Times New Roman"/>
          <w:szCs w:val="24"/>
        </w:rPr>
        <w:t xml:space="preserve"> </w:t>
      </w:r>
      <w:r w:rsidR="00A2491F" w:rsidRPr="00B94E40">
        <w:rPr>
          <w:rFonts w:cs="Times New Roman"/>
          <w:szCs w:val="24"/>
        </w:rPr>
        <w:t xml:space="preserve">după acceptarea </w:t>
      </w:r>
      <w:r w:rsidR="00FB515D" w:rsidRPr="00B94E40">
        <w:rPr>
          <w:rFonts w:cs="Times New Roman"/>
          <w:szCs w:val="24"/>
        </w:rPr>
        <w:t>acestora conform</w:t>
      </w:r>
      <w:r w:rsidR="000861C4" w:rsidRPr="00B94E40">
        <w:rPr>
          <w:rFonts w:cs="Times New Roman"/>
          <w:szCs w:val="24"/>
        </w:rPr>
        <w:t xml:space="preserve"> paragraful</w:t>
      </w:r>
      <w:r w:rsidR="007574C3" w:rsidRPr="00B94E40">
        <w:rPr>
          <w:rFonts w:cs="Times New Roman"/>
          <w:szCs w:val="24"/>
        </w:rPr>
        <w:t>ui</w:t>
      </w:r>
      <w:r w:rsidRPr="00B94E40">
        <w:rPr>
          <w:rFonts w:cs="Times New Roman"/>
          <w:szCs w:val="24"/>
        </w:rPr>
        <w:t xml:space="preserve"> 2 de mai sus;</w:t>
      </w:r>
    </w:p>
    <w:p w:rsidR="007632F7" w:rsidRPr="00B94E40" w:rsidRDefault="007632F7" w:rsidP="00323B33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FC0357" w:rsidRPr="00B94E40" w:rsidRDefault="007632F7" w:rsidP="00323B33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B94E40">
        <w:rPr>
          <w:rFonts w:cs="Times New Roman"/>
          <w:szCs w:val="24"/>
        </w:rPr>
        <w:t>4</w:t>
      </w:r>
      <w:r w:rsidRPr="00B94E40">
        <w:rPr>
          <w:rFonts w:cs="Times New Roman"/>
          <w:szCs w:val="24"/>
        </w:rPr>
        <w:tab/>
      </w:r>
      <w:r w:rsidR="00FC0357" w:rsidRPr="00B94E40">
        <w:rPr>
          <w:rFonts w:cs="Times New Roman"/>
          <w:szCs w:val="24"/>
        </w:rPr>
        <w:t xml:space="preserve">SOLICITĂ Secretarului General, în scopul </w:t>
      </w:r>
      <w:r w:rsidR="00D90A69" w:rsidRPr="00B94E40">
        <w:rPr>
          <w:rFonts w:cs="Times New Roman"/>
          <w:szCs w:val="24"/>
        </w:rPr>
        <w:t>a</w:t>
      </w:r>
      <w:r w:rsidR="00C0045F" w:rsidRPr="00B94E40">
        <w:rPr>
          <w:rFonts w:cs="Times New Roman"/>
          <w:szCs w:val="24"/>
        </w:rPr>
        <w:t>rticolul</w:t>
      </w:r>
      <w:r w:rsidR="00D90A69" w:rsidRPr="00B94E40">
        <w:rPr>
          <w:rFonts w:cs="Times New Roman"/>
          <w:szCs w:val="24"/>
        </w:rPr>
        <w:t>ui</w:t>
      </w:r>
      <w:r w:rsidR="00C0045F" w:rsidRPr="00B94E40">
        <w:rPr>
          <w:rFonts w:cs="Times New Roman"/>
          <w:szCs w:val="24"/>
        </w:rPr>
        <w:t xml:space="preserve"> 16(2)(e) </w:t>
      </w:r>
      <w:r w:rsidR="00C540C6" w:rsidRPr="00B94E40">
        <w:rPr>
          <w:rFonts w:cs="Times New Roman"/>
          <w:szCs w:val="24"/>
        </w:rPr>
        <w:t>al</w:t>
      </w:r>
      <w:r w:rsidR="00C0045F" w:rsidRPr="00B94E40">
        <w:rPr>
          <w:rFonts w:cs="Times New Roman"/>
          <w:szCs w:val="24"/>
        </w:rPr>
        <w:t xml:space="preserve"> MARPOL, să transmită copii certificate ale </w:t>
      </w:r>
      <w:r w:rsidR="00C540C6" w:rsidRPr="00B94E40">
        <w:rPr>
          <w:rFonts w:cs="Times New Roman"/>
          <w:szCs w:val="24"/>
        </w:rPr>
        <w:t>prezentei</w:t>
      </w:r>
      <w:r w:rsidR="00C0045F" w:rsidRPr="00B94E40">
        <w:rPr>
          <w:rFonts w:cs="Times New Roman"/>
          <w:szCs w:val="24"/>
        </w:rPr>
        <w:t xml:space="preserve"> rezoluții și a textului amendamentelor conținut</w:t>
      </w:r>
      <w:r w:rsidR="00C540C6" w:rsidRPr="00B94E40">
        <w:rPr>
          <w:rFonts w:cs="Times New Roman"/>
          <w:szCs w:val="24"/>
        </w:rPr>
        <w:t>e</w:t>
      </w:r>
      <w:r w:rsidR="00C0045F" w:rsidRPr="00B94E40">
        <w:rPr>
          <w:rFonts w:cs="Times New Roman"/>
          <w:szCs w:val="24"/>
        </w:rPr>
        <w:t xml:space="preserve"> în anex</w:t>
      </w:r>
      <w:r w:rsidRPr="00B94E40">
        <w:rPr>
          <w:rFonts w:cs="Times New Roman"/>
          <w:szCs w:val="24"/>
        </w:rPr>
        <w:t>ă tuturor Părților la MARPOL;</w:t>
      </w:r>
    </w:p>
    <w:p w:rsidR="007632F7" w:rsidRPr="00B94E40" w:rsidRDefault="007632F7" w:rsidP="00323B33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39701F" w:rsidRPr="00B94E40" w:rsidRDefault="007632F7" w:rsidP="00323B33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B94E40">
        <w:rPr>
          <w:rFonts w:cs="Times New Roman"/>
          <w:szCs w:val="24"/>
        </w:rPr>
        <w:t>5</w:t>
      </w:r>
      <w:r w:rsidRPr="00B94E40">
        <w:rPr>
          <w:rFonts w:cs="Times New Roman"/>
          <w:szCs w:val="24"/>
        </w:rPr>
        <w:tab/>
      </w:r>
      <w:r w:rsidR="0039701F" w:rsidRPr="00B94E40">
        <w:rPr>
          <w:rFonts w:cs="Times New Roman"/>
          <w:szCs w:val="24"/>
        </w:rPr>
        <w:t xml:space="preserve">SOLICITĂ DE ASEMENEA Secretarului General să transmită copii ale acestei rezoluții și ale anexei sale Membrilor Organizației </w:t>
      </w:r>
      <w:r w:rsidR="00821698" w:rsidRPr="00B94E40">
        <w:rPr>
          <w:rFonts w:cs="Times New Roman"/>
          <w:szCs w:val="24"/>
        </w:rPr>
        <w:t xml:space="preserve">care nu sunt </w:t>
      </w:r>
      <w:r w:rsidR="00A10871" w:rsidRPr="00B94E40">
        <w:rPr>
          <w:rFonts w:cs="Times New Roman"/>
          <w:szCs w:val="24"/>
        </w:rPr>
        <w:t>Părț</w:t>
      </w:r>
      <w:r w:rsidR="00F46009" w:rsidRPr="00B94E40">
        <w:rPr>
          <w:rFonts w:cs="Times New Roman"/>
          <w:szCs w:val="24"/>
        </w:rPr>
        <w:t>i</w:t>
      </w:r>
      <w:r w:rsidR="00C0045F" w:rsidRPr="00B94E40">
        <w:rPr>
          <w:rFonts w:cs="Times New Roman"/>
          <w:szCs w:val="24"/>
        </w:rPr>
        <w:t xml:space="preserve"> la MARPOL</w:t>
      </w:r>
      <w:r w:rsidR="00821698" w:rsidRPr="00B94E40">
        <w:rPr>
          <w:rFonts w:cs="Times New Roman"/>
          <w:szCs w:val="24"/>
        </w:rPr>
        <w:t>.</w:t>
      </w:r>
    </w:p>
    <w:p w:rsidR="007632F7" w:rsidRPr="00B94E40" w:rsidRDefault="007632F7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7632F7" w:rsidRPr="00B94E40" w:rsidRDefault="007632F7" w:rsidP="00323B33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  <w:r w:rsidRPr="00B94E40">
        <w:rPr>
          <w:rFonts w:cs="Times New Roman"/>
          <w:szCs w:val="24"/>
          <w:highlight w:val="yellow"/>
        </w:rPr>
        <w:br w:type="page"/>
      </w:r>
    </w:p>
    <w:p w:rsidR="0060650E" w:rsidRPr="00B94E40" w:rsidRDefault="00323B33" w:rsidP="00150CF8">
      <w:pPr>
        <w:spacing w:after="200" w:line="276" w:lineRule="auto"/>
        <w:jc w:val="right"/>
        <w:rPr>
          <w:rFonts w:cs="Times New Roman"/>
          <w:szCs w:val="24"/>
        </w:rPr>
      </w:pPr>
      <w:r w:rsidRPr="00B94E40">
        <w:rPr>
          <w:rFonts w:cs="Times New Roman"/>
          <w:szCs w:val="24"/>
        </w:rPr>
        <w:lastRenderedPageBreak/>
        <w:t>Anexă la Rezoluția MEPC.305(73</w:t>
      </w:r>
      <w:r w:rsidR="00150CF8" w:rsidRPr="00B94E40">
        <w:rPr>
          <w:rFonts w:cs="Times New Roman"/>
          <w:szCs w:val="24"/>
        </w:rPr>
        <w:t>)</w:t>
      </w:r>
    </w:p>
    <w:p w:rsidR="005667B6" w:rsidRPr="00B94E40" w:rsidRDefault="005667B6" w:rsidP="00150CF8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D46B38" w:rsidRPr="00B94E40" w:rsidRDefault="00F46009" w:rsidP="00D46B38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  <w:r w:rsidRPr="00B94E40">
        <w:rPr>
          <w:rFonts w:eastAsia="Times New Roman" w:cs="Times New Roman"/>
          <w:b/>
          <w:szCs w:val="24"/>
          <w:lang w:eastAsia="ro-RO"/>
        </w:rPr>
        <w:t xml:space="preserve">AMENDAMENTE LA </w:t>
      </w:r>
      <w:r w:rsidR="00D14EA8" w:rsidRPr="00B94E40">
        <w:rPr>
          <w:rFonts w:eastAsia="Times New Roman" w:cs="Times New Roman"/>
          <w:b/>
          <w:szCs w:val="24"/>
          <w:lang w:eastAsia="ro-RO"/>
        </w:rPr>
        <w:t>ANEXA VI</w:t>
      </w:r>
      <w:r w:rsidRPr="00B94E40">
        <w:rPr>
          <w:rFonts w:eastAsia="Times New Roman" w:cs="Times New Roman"/>
          <w:b/>
          <w:szCs w:val="24"/>
          <w:lang w:eastAsia="ro-RO"/>
        </w:rPr>
        <w:t xml:space="preserve"> LA MARPOL</w:t>
      </w:r>
    </w:p>
    <w:p w:rsidR="00D14EA8" w:rsidRPr="00B94E40" w:rsidRDefault="00D14EA8" w:rsidP="00D46B38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</w:p>
    <w:p w:rsidR="00D14EA8" w:rsidRPr="00B94E40" w:rsidRDefault="00C65475" w:rsidP="00D46B38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  <w:r w:rsidRPr="00B94E40">
        <w:rPr>
          <w:rFonts w:eastAsia="Times New Roman" w:cs="Times New Roman"/>
          <w:b/>
          <w:szCs w:val="24"/>
          <w:lang w:eastAsia="ro-RO"/>
        </w:rPr>
        <w:t>(</w:t>
      </w:r>
      <w:r w:rsidR="00323B33" w:rsidRPr="00B94E40">
        <w:rPr>
          <w:rFonts w:eastAsia="Times New Roman" w:cs="Times New Roman"/>
          <w:b/>
          <w:szCs w:val="24"/>
          <w:lang w:eastAsia="ro-RO"/>
        </w:rPr>
        <w:t>Interzicerea transportului la bordul unei nave a combustibil</w:t>
      </w:r>
      <w:r w:rsidR="005D1A8B" w:rsidRPr="00B94E40">
        <w:rPr>
          <w:rFonts w:eastAsia="Times New Roman" w:cs="Times New Roman"/>
          <w:b/>
          <w:szCs w:val="24"/>
          <w:lang w:eastAsia="ro-RO"/>
        </w:rPr>
        <w:t xml:space="preserve">ului </w:t>
      </w:r>
      <w:r w:rsidR="00B15B6B" w:rsidRPr="00B94E40">
        <w:rPr>
          <w:rFonts w:eastAsia="Times New Roman" w:cs="Times New Roman"/>
          <w:b/>
          <w:szCs w:val="24"/>
          <w:lang w:eastAsia="ro-RO"/>
        </w:rPr>
        <w:t xml:space="preserve">lichid </w:t>
      </w:r>
      <w:r w:rsidR="005D1A8B" w:rsidRPr="00B94E40">
        <w:rPr>
          <w:rFonts w:eastAsia="Times New Roman" w:cs="Times New Roman"/>
          <w:b/>
          <w:szCs w:val="24"/>
          <w:lang w:eastAsia="ro-RO"/>
        </w:rPr>
        <w:t xml:space="preserve">neconform </w:t>
      </w:r>
      <w:r w:rsidR="00EE0C8C" w:rsidRPr="00B94E40">
        <w:rPr>
          <w:rFonts w:eastAsia="Times New Roman" w:cs="Times New Roman"/>
          <w:b/>
          <w:szCs w:val="24"/>
          <w:lang w:eastAsia="ro-RO"/>
        </w:rPr>
        <w:t>destinat</w:t>
      </w:r>
      <w:r w:rsidR="005D1A8B" w:rsidRPr="00B94E40">
        <w:rPr>
          <w:rFonts w:eastAsia="Times New Roman" w:cs="Times New Roman"/>
          <w:b/>
          <w:szCs w:val="24"/>
          <w:lang w:eastAsia="ro-RO"/>
        </w:rPr>
        <w:t xml:space="preserve"> combustiei</w:t>
      </w:r>
      <w:r w:rsidR="00FC5581" w:rsidRPr="00B94E40">
        <w:rPr>
          <w:rFonts w:eastAsia="Times New Roman" w:cs="Times New Roman"/>
          <w:b/>
          <w:szCs w:val="24"/>
          <w:lang w:eastAsia="ro-RO"/>
        </w:rPr>
        <w:t xml:space="preserve"> pentru propulsia sau</w:t>
      </w:r>
      <w:r w:rsidR="005D1A8B" w:rsidRPr="00B94E40">
        <w:rPr>
          <w:rFonts w:eastAsia="Times New Roman" w:cs="Times New Roman"/>
          <w:b/>
          <w:szCs w:val="24"/>
          <w:lang w:eastAsia="ro-RO"/>
        </w:rPr>
        <w:t xml:space="preserve"> </w:t>
      </w:r>
      <w:r w:rsidR="00323B33" w:rsidRPr="00B94E40">
        <w:rPr>
          <w:rFonts w:eastAsia="Times New Roman" w:cs="Times New Roman"/>
          <w:b/>
          <w:szCs w:val="24"/>
          <w:lang w:eastAsia="ro-RO"/>
        </w:rPr>
        <w:t>operarea acesteia</w:t>
      </w:r>
      <w:r w:rsidR="00D14EA8" w:rsidRPr="00B94E40">
        <w:rPr>
          <w:rFonts w:eastAsia="Times New Roman" w:cs="Times New Roman"/>
          <w:b/>
          <w:szCs w:val="24"/>
          <w:lang w:eastAsia="ro-RO"/>
        </w:rPr>
        <w:t>)</w:t>
      </w:r>
    </w:p>
    <w:p w:rsidR="00BA47D9" w:rsidRPr="00B94E40" w:rsidRDefault="00BA47D9" w:rsidP="00323B3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5667B6" w:rsidRPr="00B94E40" w:rsidRDefault="00323B33" w:rsidP="00323B3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B94E40">
        <w:rPr>
          <w:rFonts w:cs="Times New Roman"/>
          <w:b/>
          <w:bCs/>
          <w:szCs w:val="24"/>
        </w:rPr>
        <w:t>ANEXA VI</w:t>
      </w:r>
    </w:p>
    <w:p w:rsidR="00323B33" w:rsidRPr="00B94E40" w:rsidRDefault="00323B33" w:rsidP="00323B33">
      <w:pPr>
        <w:autoSpaceDE w:val="0"/>
        <w:autoSpaceDN w:val="0"/>
        <w:adjustRightInd w:val="0"/>
        <w:rPr>
          <w:rFonts w:cs="Times New Roman"/>
          <w:b/>
          <w:bCs/>
          <w:szCs w:val="24"/>
          <w:highlight w:val="yellow"/>
        </w:rPr>
      </w:pPr>
    </w:p>
    <w:p w:rsidR="00323B33" w:rsidRPr="00B94E40" w:rsidRDefault="006D63B3" w:rsidP="00323B3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highlight w:val="yellow"/>
        </w:rPr>
      </w:pPr>
      <w:r w:rsidRPr="00B94E40">
        <w:rPr>
          <w:rFonts w:cs="Times New Roman"/>
          <w:b/>
          <w:bCs/>
          <w:szCs w:val="24"/>
        </w:rPr>
        <w:t>REGULI PRIVIND PREVENIREA POLUĂRII ATMOSFEREI DE CĂTRE NAVE</w:t>
      </w:r>
    </w:p>
    <w:p w:rsidR="00323B33" w:rsidRPr="00B94E40" w:rsidRDefault="00323B33" w:rsidP="00323B33">
      <w:pPr>
        <w:autoSpaceDE w:val="0"/>
        <w:autoSpaceDN w:val="0"/>
        <w:adjustRightInd w:val="0"/>
        <w:rPr>
          <w:rFonts w:cs="Times New Roman"/>
          <w:b/>
          <w:bCs/>
          <w:szCs w:val="24"/>
          <w:highlight w:val="yellow"/>
        </w:rPr>
      </w:pPr>
    </w:p>
    <w:p w:rsidR="00323B33" w:rsidRPr="00B94E40" w:rsidRDefault="00323B33" w:rsidP="00323B33">
      <w:pPr>
        <w:autoSpaceDE w:val="0"/>
        <w:autoSpaceDN w:val="0"/>
        <w:adjustRightInd w:val="0"/>
        <w:rPr>
          <w:rFonts w:cs="Times New Roman"/>
          <w:b/>
          <w:bCs/>
          <w:szCs w:val="24"/>
          <w:highlight w:val="yellow"/>
        </w:rPr>
      </w:pPr>
    </w:p>
    <w:p w:rsidR="00E42D5A" w:rsidRPr="00B94E40" w:rsidRDefault="00E42D5A" w:rsidP="00323B3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94E40">
        <w:rPr>
          <w:rFonts w:cs="Times New Roman"/>
          <w:b/>
          <w:bCs/>
          <w:szCs w:val="24"/>
        </w:rPr>
        <w:t>Regula 14</w:t>
      </w:r>
    </w:p>
    <w:p w:rsidR="007E6758" w:rsidRPr="00B94E40" w:rsidRDefault="00E42D5A" w:rsidP="00323B33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B94E40">
        <w:rPr>
          <w:rFonts w:cs="Times New Roman"/>
          <w:bCs/>
          <w:i/>
          <w:szCs w:val="24"/>
        </w:rPr>
        <w:t>Oxizi de su</w:t>
      </w:r>
      <w:r w:rsidR="009B1FA0" w:rsidRPr="00B94E40">
        <w:rPr>
          <w:rFonts w:cs="Times New Roman"/>
          <w:bCs/>
          <w:i/>
          <w:szCs w:val="24"/>
        </w:rPr>
        <w:t>lf (</w:t>
      </w:r>
      <w:proofErr w:type="spellStart"/>
      <w:r w:rsidR="009B1FA0" w:rsidRPr="00B94E40">
        <w:rPr>
          <w:rFonts w:cs="Times New Roman"/>
          <w:bCs/>
          <w:i/>
          <w:szCs w:val="24"/>
        </w:rPr>
        <w:t>SOx</w:t>
      </w:r>
      <w:proofErr w:type="spellEnd"/>
      <w:r w:rsidR="009B1FA0" w:rsidRPr="00B94E40">
        <w:rPr>
          <w:rFonts w:cs="Times New Roman"/>
          <w:bCs/>
          <w:i/>
          <w:szCs w:val="24"/>
        </w:rPr>
        <w:t>) ș</w:t>
      </w:r>
      <w:r w:rsidRPr="00B94E40">
        <w:rPr>
          <w:rFonts w:cs="Times New Roman"/>
          <w:bCs/>
          <w:i/>
          <w:szCs w:val="24"/>
        </w:rPr>
        <w:t>i particule materiale</w:t>
      </w:r>
    </w:p>
    <w:p w:rsidR="00CF5579" w:rsidRPr="00B94E40" w:rsidRDefault="00CF5579" w:rsidP="00323B3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CF5579" w:rsidRPr="00B94E40" w:rsidRDefault="00CF5579" w:rsidP="00323B3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94E40">
        <w:rPr>
          <w:rFonts w:cs="Times New Roman"/>
          <w:b/>
          <w:bCs/>
          <w:szCs w:val="24"/>
        </w:rPr>
        <w:t>Cerințe generale</w:t>
      </w:r>
    </w:p>
    <w:p w:rsidR="00E42D5A" w:rsidRPr="00B94E40" w:rsidRDefault="00E42D5A" w:rsidP="00323B3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E42D5A" w:rsidRPr="00B94E40" w:rsidRDefault="00E42D5A" w:rsidP="00E42D5A">
      <w:pPr>
        <w:tabs>
          <w:tab w:val="left" w:pos="1134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>1</w:t>
      </w:r>
      <w:r w:rsidRPr="00B94E40">
        <w:rPr>
          <w:rFonts w:cs="Times New Roman"/>
          <w:bCs/>
          <w:szCs w:val="24"/>
        </w:rPr>
        <w:tab/>
        <w:t xml:space="preserve">Paragraful 1 </w:t>
      </w:r>
      <w:r w:rsidR="00100CF3" w:rsidRPr="00B94E40">
        <w:rPr>
          <w:rFonts w:cs="Times New Roman"/>
          <w:bCs/>
          <w:szCs w:val="24"/>
        </w:rPr>
        <w:t>este înlocuit</w:t>
      </w:r>
      <w:r w:rsidRPr="00B94E40">
        <w:rPr>
          <w:rFonts w:cs="Times New Roman"/>
          <w:bCs/>
          <w:szCs w:val="24"/>
        </w:rPr>
        <w:t xml:space="preserve"> cu următorul:</w:t>
      </w:r>
    </w:p>
    <w:p w:rsidR="00E42D5A" w:rsidRPr="00B94E40" w:rsidRDefault="00E42D5A" w:rsidP="00E42D5A">
      <w:pPr>
        <w:tabs>
          <w:tab w:val="left" w:pos="1134"/>
        </w:tabs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E42D5A" w:rsidRPr="00B94E40" w:rsidRDefault="00D857B0" w:rsidP="00C4583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  <w:t>„1</w:t>
      </w:r>
      <w:r w:rsidRPr="00B94E40">
        <w:rPr>
          <w:rFonts w:cs="Times New Roman"/>
          <w:bCs/>
          <w:szCs w:val="24"/>
        </w:rPr>
        <w:tab/>
        <w:t xml:space="preserve">Conținutul de sulf al combustibilului </w:t>
      </w:r>
      <w:r w:rsidR="00D0591A" w:rsidRPr="00B94E40">
        <w:rPr>
          <w:rFonts w:cs="Times New Roman"/>
          <w:bCs/>
          <w:szCs w:val="24"/>
        </w:rPr>
        <w:t>lichid utilizat</w:t>
      </w:r>
      <w:r w:rsidRPr="00B94E40">
        <w:rPr>
          <w:rFonts w:cs="Times New Roman"/>
          <w:bCs/>
          <w:szCs w:val="24"/>
        </w:rPr>
        <w:t xml:space="preserve"> sau transportat pentru a fi </w:t>
      </w:r>
      <w:r w:rsidR="003178A9" w:rsidRPr="00B94E40">
        <w:rPr>
          <w:rFonts w:cs="Times New Roman"/>
          <w:bCs/>
          <w:szCs w:val="24"/>
        </w:rPr>
        <w:t>utilizat</w:t>
      </w:r>
      <w:r w:rsidRPr="00B94E40">
        <w:rPr>
          <w:rFonts w:cs="Times New Roman"/>
          <w:bCs/>
          <w:szCs w:val="24"/>
        </w:rPr>
        <w:t xml:space="preserve"> la bordul unei nave</w:t>
      </w:r>
      <w:r w:rsidR="006F1965" w:rsidRPr="00B94E40">
        <w:rPr>
          <w:rFonts w:cs="Times New Roman"/>
          <w:bCs/>
          <w:szCs w:val="24"/>
        </w:rPr>
        <w:t xml:space="preserve"> nu trebuie să depășească 0,</w:t>
      </w:r>
      <w:r w:rsidR="00100CF3" w:rsidRPr="00B94E40">
        <w:rPr>
          <w:rFonts w:cs="Times New Roman"/>
          <w:bCs/>
          <w:szCs w:val="24"/>
        </w:rPr>
        <w:t>50% m/m.”</w:t>
      </w:r>
    </w:p>
    <w:p w:rsidR="00100CF3" w:rsidRPr="00B94E40" w:rsidRDefault="00100CF3" w:rsidP="00D857B0">
      <w:pPr>
        <w:tabs>
          <w:tab w:val="left" w:pos="1134"/>
          <w:tab w:val="left" w:pos="1985"/>
        </w:tabs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100CF3" w:rsidRPr="00B94E40" w:rsidRDefault="009B1FA0" w:rsidP="00D857B0">
      <w:pPr>
        <w:tabs>
          <w:tab w:val="left" w:pos="1134"/>
          <w:tab w:val="left" w:pos="1985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94E40">
        <w:rPr>
          <w:rFonts w:cs="Times New Roman"/>
          <w:b/>
          <w:bCs/>
          <w:szCs w:val="24"/>
        </w:rPr>
        <w:t>Cerinț</w:t>
      </w:r>
      <w:r w:rsidR="00100CF3" w:rsidRPr="00B94E40">
        <w:rPr>
          <w:rFonts w:cs="Times New Roman"/>
          <w:b/>
          <w:bCs/>
          <w:szCs w:val="24"/>
        </w:rPr>
        <w:t>e aplicabile în zonele de control al emisiilor</w:t>
      </w:r>
    </w:p>
    <w:p w:rsidR="00100CF3" w:rsidRPr="00B94E40" w:rsidRDefault="00100CF3" w:rsidP="00D857B0">
      <w:pPr>
        <w:tabs>
          <w:tab w:val="left" w:pos="1134"/>
          <w:tab w:val="left" w:pos="1985"/>
        </w:tabs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100CF3" w:rsidRPr="00B94E40" w:rsidRDefault="00100CF3" w:rsidP="00D857B0">
      <w:pPr>
        <w:tabs>
          <w:tab w:val="left" w:pos="1134"/>
          <w:tab w:val="left" w:pos="1985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>2</w:t>
      </w:r>
      <w:r w:rsidRPr="00B94E40">
        <w:rPr>
          <w:rFonts w:cs="Times New Roman"/>
          <w:bCs/>
          <w:szCs w:val="24"/>
        </w:rPr>
        <w:tab/>
        <w:t>Paragraful 3 este înlocuit cu următorul:</w:t>
      </w:r>
    </w:p>
    <w:p w:rsidR="00100CF3" w:rsidRPr="00B94E40" w:rsidRDefault="00100CF3" w:rsidP="00D857B0">
      <w:pPr>
        <w:tabs>
          <w:tab w:val="left" w:pos="1134"/>
          <w:tab w:val="left" w:pos="1985"/>
        </w:tabs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B878CB" w:rsidRPr="00B94E40" w:rsidRDefault="00B078E7" w:rsidP="00682B24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413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  <w:t>„3</w:t>
      </w:r>
      <w:r w:rsidRPr="00B94E40">
        <w:rPr>
          <w:rFonts w:cs="Times New Roman"/>
          <w:bCs/>
          <w:szCs w:val="24"/>
        </w:rPr>
        <w:tab/>
        <w:t xml:space="preserve">În sensul prezentei reguli, </w:t>
      </w:r>
      <w:r w:rsidR="009B1FA0" w:rsidRPr="00B94E40">
        <w:rPr>
          <w:rFonts w:cs="Times New Roman"/>
          <w:bCs/>
          <w:szCs w:val="24"/>
        </w:rPr>
        <w:t>o zonă de control al emisiilor trebuie să fie orice zonă maritimă, inclusiv orice zonă portuară</w:t>
      </w:r>
      <w:r w:rsidR="00471DE2" w:rsidRPr="00B94E40">
        <w:rPr>
          <w:rFonts w:cs="Times New Roman"/>
          <w:bCs/>
          <w:szCs w:val="24"/>
        </w:rPr>
        <w:t>,</w:t>
      </w:r>
      <w:r w:rsidR="00FC0105" w:rsidRPr="00B94E40">
        <w:rPr>
          <w:rFonts w:cs="Times New Roman"/>
          <w:bCs/>
          <w:szCs w:val="24"/>
        </w:rPr>
        <w:t xml:space="preserve"> desemnată de Organizație în conformitate cu criterii</w:t>
      </w:r>
      <w:r w:rsidR="00682B24" w:rsidRPr="00B94E40">
        <w:rPr>
          <w:rFonts w:cs="Times New Roman"/>
          <w:bCs/>
          <w:szCs w:val="24"/>
        </w:rPr>
        <w:t>le și procedurile prevăzute în a</w:t>
      </w:r>
      <w:r w:rsidR="00FC0105" w:rsidRPr="00B94E40">
        <w:rPr>
          <w:rFonts w:cs="Times New Roman"/>
          <w:bCs/>
          <w:szCs w:val="24"/>
        </w:rPr>
        <w:t xml:space="preserve">pendicele III </w:t>
      </w:r>
      <w:r w:rsidR="00682B24" w:rsidRPr="00B94E40">
        <w:rPr>
          <w:rFonts w:cs="Times New Roman"/>
          <w:bCs/>
          <w:szCs w:val="24"/>
        </w:rPr>
        <w:t>al acestei Anexe</w:t>
      </w:r>
      <w:r w:rsidR="00FC0105" w:rsidRPr="00B94E40">
        <w:rPr>
          <w:rFonts w:cs="Times New Roman"/>
          <w:bCs/>
          <w:szCs w:val="24"/>
        </w:rPr>
        <w:t xml:space="preserve">. </w:t>
      </w:r>
      <w:r w:rsidR="00972CDA" w:rsidRPr="00B94E40">
        <w:rPr>
          <w:rFonts w:cs="Times New Roman"/>
          <w:bCs/>
          <w:szCs w:val="24"/>
        </w:rPr>
        <w:t xml:space="preserve">Zonele de control al emisiilor </w:t>
      </w:r>
      <w:r w:rsidR="00B878CB" w:rsidRPr="00B94E40">
        <w:rPr>
          <w:rFonts w:cs="Times New Roman"/>
          <w:bCs/>
          <w:szCs w:val="24"/>
        </w:rPr>
        <w:t>aflate sub incidența acestei reguli sunt:</w:t>
      </w:r>
    </w:p>
    <w:p w:rsidR="00B878CB" w:rsidRPr="00B94E40" w:rsidRDefault="00B878CB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1980" w:hanging="1980"/>
        <w:rPr>
          <w:rFonts w:cs="Times New Roman"/>
          <w:bCs/>
          <w:szCs w:val="24"/>
        </w:rPr>
      </w:pPr>
    </w:p>
    <w:p w:rsidR="00B878CB" w:rsidRPr="00B94E40" w:rsidRDefault="00B878CB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</w:r>
      <w:r w:rsidR="00434EB0" w:rsidRPr="00B94E40">
        <w:rPr>
          <w:rFonts w:cs="Times New Roman"/>
          <w:bCs/>
          <w:szCs w:val="24"/>
        </w:rPr>
        <w:t>.1</w:t>
      </w:r>
      <w:r w:rsidR="00434EB0" w:rsidRPr="00B94E40">
        <w:rPr>
          <w:rFonts w:cs="Times New Roman"/>
          <w:bCs/>
          <w:szCs w:val="24"/>
        </w:rPr>
        <w:tab/>
        <w:t>z</w:t>
      </w:r>
      <w:r w:rsidRPr="00B94E40">
        <w:rPr>
          <w:rFonts w:cs="Times New Roman"/>
          <w:bCs/>
          <w:szCs w:val="24"/>
        </w:rPr>
        <w:t xml:space="preserve">ona Mării Baltice </w:t>
      </w:r>
      <w:r w:rsidR="0030676D" w:rsidRPr="00B94E40">
        <w:rPr>
          <w:rFonts w:cs="Times New Roman"/>
          <w:bCs/>
          <w:szCs w:val="24"/>
        </w:rPr>
        <w:t xml:space="preserve">așa </w:t>
      </w:r>
      <w:r w:rsidRPr="00B94E40">
        <w:rPr>
          <w:rFonts w:cs="Times New Roman"/>
          <w:bCs/>
          <w:szCs w:val="24"/>
        </w:rPr>
        <w:t>cum este definită în regula 1.11.2 din Anexa I a prezentei Convenții;</w:t>
      </w:r>
    </w:p>
    <w:p w:rsidR="00434EB0" w:rsidRPr="00B94E40" w:rsidRDefault="00434EB0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</w:p>
    <w:p w:rsidR="00434EB0" w:rsidRPr="00B94E40" w:rsidRDefault="00434EB0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  <w:t>.2</w:t>
      </w:r>
      <w:r w:rsidRPr="00B94E40">
        <w:rPr>
          <w:rFonts w:cs="Times New Roman"/>
          <w:bCs/>
          <w:szCs w:val="24"/>
        </w:rPr>
        <w:tab/>
      </w:r>
      <w:r w:rsidR="0030676D" w:rsidRPr="00B94E40">
        <w:rPr>
          <w:rFonts w:cs="Times New Roman"/>
          <w:bCs/>
          <w:szCs w:val="24"/>
        </w:rPr>
        <w:t xml:space="preserve">zona Mării Nordului </w:t>
      </w:r>
      <w:r w:rsidR="002042CD" w:rsidRPr="00B94E40">
        <w:rPr>
          <w:rFonts w:cs="Times New Roman"/>
          <w:bCs/>
          <w:szCs w:val="24"/>
        </w:rPr>
        <w:t xml:space="preserve">așa </w:t>
      </w:r>
      <w:r w:rsidR="0030676D" w:rsidRPr="00B94E40">
        <w:rPr>
          <w:rFonts w:cs="Times New Roman"/>
          <w:bCs/>
          <w:szCs w:val="24"/>
        </w:rPr>
        <w:t>cum este definită în regula 1.14.6 din Anexa V a prezentei Convenții;</w:t>
      </w:r>
    </w:p>
    <w:p w:rsidR="00B64286" w:rsidRPr="00B94E40" w:rsidRDefault="00B64286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</w:p>
    <w:p w:rsidR="00B64286" w:rsidRPr="00B94E40" w:rsidRDefault="00B64286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  <w:t>.3</w:t>
      </w:r>
      <w:r w:rsidRPr="00B94E40">
        <w:rPr>
          <w:rFonts w:cs="Times New Roman"/>
          <w:bCs/>
          <w:szCs w:val="24"/>
        </w:rPr>
        <w:tab/>
      </w:r>
      <w:r w:rsidR="00DD59BF" w:rsidRPr="00B94E40">
        <w:rPr>
          <w:rFonts w:cs="Times New Roman"/>
          <w:bCs/>
          <w:szCs w:val="24"/>
        </w:rPr>
        <w:t>zona</w:t>
      </w:r>
      <w:r w:rsidR="00415220" w:rsidRPr="00B94E40">
        <w:rPr>
          <w:rFonts w:cs="Times New Roman"/>
          <w:bCs/>
          <w:szCs w:val="24"/>
        </w:rPr>
        <w:t xml:space="preserve"> de control al emisiilor</w:t>
      </w:r>
      <w:r w:rsidR="00DD59BF" w:rsidRPr="00B94E40">
        <w:rPr>
          <w:rFonts w:cs="Times New Roman"/>
          <w:bCs/>
          <w:szCs w:val="24"/>
        </w:rPr>
        <w:t xml:space="preserve"> a Americii de Nord</w:t>
      </w:r>
      <w:r w:rsidR="00415220" w:rsidRPr="00B94E40">
        <w:rPr>
          <w:rFonts w:cs="Times New Roman"/>
          <w:bCs/>
          <w:szCs w:val="24"/>
        </w:rPr>
        <w:t xml:space="preserve">, care înseamnă aria delimitată de coordonatele prevăzute în apendicele </w:t>
      </w:r>
      <w:r w:rsidR="008A7556" w:rsidRPr="00B94E40">
        <w:rPr>
          <w:rFonts w:cs="Times New Roman"/>
          <w:bCs/>
          <w:szCs w:val="24"/>
        </w:rPr>
        <w:t>VII</w:t>
      </w:r>
      <w:r w:rsidR="00C11810" w:rsidRPr="00B94E40">
        <w:rPr>
          <w:rFonts w:cs="Times New Roman"/>
          <w:bCs/>
          <w:szCs w:val="24"/>
        </w:rPr>
        <w:t xml:space="preserve"> </w:t>
      </w:r>
      <w:r w:rsidR="00C532A4" w:rsidRPr="00B94E40">
        <w:rPr>
          <w:rFonts w:cs="Times New Roman"/>
          <w:bCs/>
          <w:szCs w:val="24"/>
        </w:rPr>
        <w:t>al acestei Anexe</w:t>
      </w:r>
      <w:r w:rsidR="00415220" w:rsidRPr="00B94E40">
        <w:rPr>
          <w:rFonts w:cs="Times New Roman"/>
          <w:bCs/>
          <w:szCs w:val="24"/>
        </w:rPr>
        <w:t>; și</w:t>
      </w:r>
    </w:p>
    <w:p w:rsidR="00C11810" w:rsidRPr="00B94E40" w:rsidRDefault="00C11810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</w:p>
    <w:p w:rsidR="00C11810" w:rsidRPr="00B94E40" w:rsidRDefault="00C11810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  <w:t>.4</w:t>
      </w:r>
      <w:r w:rsidRPr="00B94E40">
        <w:rPr>
          <w:rFonts w:cs="Times New Roman"/>
          <w:bCs/>
          <w:szCs w:val="24"/>
        </w:rPr>
        <w:tab/>
      </w:r>
      <w:r w:rsidR="007B013A" w:rsidRPr="00B94E40">
        <w:rPr>
          <w:rFonts w:cs="Times New Roman"/>
          <w:bCs/>
          <w:szCs w:val="24"/>
        </w:rPr>
        <w:t>zona de control al emisiilor din zona maritimă</w:t>
      </w:r>
      <w:r w:rsidRPr="00B94E40">
        <w:rPr>
          <w:rFonts w:cs="Times New Roman"/>
          <w:bCs/>
          <w:szCs w:val="24"/>
        </w:rPr>
        <w:t xml:space="preserve"> Caraibe a Statelor Unite</w:t>
      </w:r>
      <w:r w:rsidR="008A7556" w:rsidRPr="00B94E40">
        <w:rPr>
          <w:rFonts w:cs="Times New Roman"/>
          <w:bCs/>
          <w:szCs w:val="24"/>
        </w:rPr>
        <w:t>,</w:t>
      </w:r>
      <w:r w:rsidRPr="00B94E40">
        <w:rPr>
          <w:rFonts w:cs="Times New Roman"/>
          <w:bCs/>
          <w:szCs w:val="24"/>
        </w:rPr>
        <w:t xml:space="preserve"> </w:t>
      </w:r>
      <w:r w:rsidR="008A7556" w:rsidRPr="00B94E40">
        <w:rPr>
          <w:rFonts w:cs="Times New Roman"/>
          <w:bCs/>
          <w:szCs w:val="24"/>
        </w:rPr>
        <w:t>care înseamnă aria delimitată de coordonatele prevăzute în apendicele VII al acestei An</w:t>
      </w:r>
      <w:r w:rsidR="00C532A4" w:rsidRPr="00B94E40">
        <w:rPr>
          <w:rFonts w:cs="Times New Roman"/>
          <w:bCs/>
          <w:szCs w:val="24"/>
        </w:rPr>
        <w:t>exe</w:t>
      </w:r>
      <w:r w:rsidR="008A7556" w:rsidRPr="00B94E40">
        <w:rPr>
          <w:rFonts w:cs="Times New Roman"/>
          <w:bCs/>
          <w:szCs w:val="24"/>
        </w:rPr>
        <w:t>.”</w:t>
      </w:r>
    </w:p>
    <w:p w:rsidR="00C532A4" w:rsidRPr="00B94E40" w:rsidRDefault="00C532A4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</w:p>
    <w:p w:rsidR="00C532A4" w:rsidRPr="00B94E40" w:rsidRDefault="00C532A4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>3</w:t>
      </w:r>
      <w:r w:rsidRPr="00B94E40">
        <w:rPr>
          <w:rFonts w:cs="Times New Roman"/>
          <w:bCs/>
          <w:szCs w:val="24"/>
        </w:rPr>
        <w:tab/>
        <w:t>Paragraful 4 este înlocuit cu următorul:</w:t>
      </w:r>
    </w:p>
    <w:p w:rsidR="00C532A4" w:rsidRPr="00B94E40" w:rsidRDefault="00C532A4" w:rsidP="00B878CB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</w:p>
    <w:p w:rsidR="00C532A4" w:rsidRPr="00B94E40" w:rsidRDefault="007C7B3E" w:rsidP="0050014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  <w:t>„</w:t>
      </w:r>
      <w:r w:rsidR="00C532A4" w:rsidRPr="00B94E40">
        <w:rPr>
          <w:rFonts w:cs="Times New Roman"/>
          <w:bCs/>
          <w:szCs w:val="24"/>
        </w:rPr>
        <w:t>4</w:t>
      </w:r>
      <w:r w:rsidR="00C532A4" w:rsidRPr="00B94E40">
        <w:rPr>
          <w:rFonts w:cs="Times New Roman"/>
          <w:bCs/>
          <w:szCs w:val="24"/>
        </w:rPr>
        <w:tab/>
      </w:r>
      <w:r w:rsidR="002B2893" w:rsidRPr="00B94E40">
        <w:rPr>
          <w:rFonts w:cs="Times New Roman"/>
          <w:bCs/>
          <w:szCs w:val="24"/>
        </w:rPr>
        <w:t>Pe perioada în care</w:t>
      </w:r>
      <w:r w:rsidR="00C532A4" w:rsidRPr="00B94E40">
        <w:rPr>
          <w:rFonts w:cs="Times New Roman"/>
          <w:bCs/>
          <w:szCs w:val="24"/>
        </w:rPr>
        <w:t xml:space="preserve"> o navă </w:t>
      </w:r>
      <w:r w:rsidR="004A4820" w:rsidRPr="00B94E40">
        <w:rPr>
          <w:rFonts w:cs="Times New Roman"/>
          <w:bCs/>
          <w:szCs w:val="24"/>
        </w:rPr>
        <w:t xml:space="preserve">operează </w:t>
      </w:r>
      <w:r w:rsidR="00C532A4" w:rsidRPr="00B94E40">
        <w:rPr>
          <w:rFonts w:cs="Times New Roman"/>
          <w:bCs/>
          <w:szCs w:val="24"/>
        </w:rPr>
        <w:t>într-o zonă de control a</w:t>
      </w:r>
      <w:r w:rsidR="002B2893" w:rsidRPr="00B94E40">
        <w:rPr>
          <w:rFonts w:cs="Times New Roman"/>
          <w:bCs/>
          <w:szCs w:val="24"/>
        </w:rPr>
        <w:t>l emisiilor, conținutul de sulf al combustibilului lichid</w:t>
      </w:r>
      <w:r w:rsidR="00C532A4" w:rsidRPr="00B94E40">
        <w:rPr>
          <w:rFonts w:cs="Times New Roman"/>
          <w:bCs/>
          <w:szCs w:val="24"/>
        </w:rPr>
        <w:t xml:space="preserve"> utilizat la bordul </w:t>
      </w:r>
      <w:r w:rsidR="002B2893" w:rsidRPr="00B94E40">
        <w:rPr>
          <w:rFonts w:cs="Times New Roman"/>
          <w:bCs/>
          <w:szCs w:val="24"/>
        </w:rPr>
        <w:t xml:space="preserve">acestei </w:t>
      </w:r>
      <w:r w:rsidR="00C532A4" w:rsidRPr="00B94E40">
        <w:rPr>
          <w:rFonts w:cs="Times New Roman"/>
          <w:bCs/>
          <w:szCs w:val="24"/>
        </w:rPr>
        <w:t xml:space="preserve">nave </w:t>
      </w:r>
      <w:r w:rsidR="002B2893" w:rsidRPr="00B94E40">
        <w:rPr>
          <w:rFonts w:cs="Times New Roman"/>
          <w:bCs/>
          <w:szCs w:val="24"/>
        </w:rPr>
        <w:t xml:space="preserve">nu trebuie </w:t>
      </w:r>
      <w:r w:rsidR="00A97529" w:rsidRPr="00B94E40">
        <w:rPr>
          <w:rFonts w:cs="Times New Roman"/>
          <w:bCs/>
          <w:szCs w:val="24"/>
        </w:rPr>
        <w:t>să depășească 0,</w:t>
      </w:r>
      <w:r w:rsidR="00C532A4" w:rsidRPr="00B94E40">
        <w:rPr>
          <w:rFonts w:cs="Times New Roman"/>
          <w:bCs/>
          <w:szCs w:val="24"/>
        </w:rPr>
        <w:t>10% m/m.</w:t>
      </w:r>
      <w:r w:rsidR="00D46F28" w:rsidRPr="00B94E40">
        <w:rPr>
          <w:rFonts w:cs="Times New Roman"/>
          <w:bCs/>
          <w:szCs w:val="24"/>
        </w:rPr>
        <w:t>”</w:t>
      </w:r>
    </w:p>
    <w:p w:rsidR="002B2893" w:rsidRPr="00B94E40" w:rsidRDefault="002B2893" w:rsidP="002B2893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</w:p>
    <w:p w:rsidR="002B2893" w:rsidRPr="00B94E40" w:rsidRDefault="002B2893" w:rsidP="002B2893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>4</w:t>
      </w:r>
      <w:r w:rsidRPr="00B94E40">
        <w:rPr>
          <w:rFonts w:cs="Times New Roman"/>
          <w:bCs/>
          <w:szCs w:val="24"/>
        </w:rPr>
        <w:tab/>
        <w:t>Subtitlul „Prevederi referitoare la revizuire” și paragrafele 8, 9 și 10</w:t>
      </w:r>
      <w:r w:rsidR="0050014B" w:rsidRPr="00B94E40">
        <w:rPr>
          <w:rFonts w:cs="Times New Roman"/>
          <w:bCs/>
          <w:szCs w:val="24"/>
        </w:rPr>
        <w:t xml:space="preserve"> sunt eliminate. </w:t>
      </w:r>
    </w:p>
    <w:p w:rsidR="0050014B" w:rsidRPr="00B94E40" w:rsidRDefault="0050014B" w:rsidP="002B2893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br w:type="page"/>
      </w:r>
    </w:p>
    <w:p w:rsidR="0050014B" w:rsidRPr="00B94E40" w:rsidRDefault="0050014B" w:rsidP="002B2893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/>
          <w:bCs/>
          <w:szCs w:val="24"/>
        </w:rPr>
      </w:pPr>
      <w:r w:rsidRPr="00B94E40">
        <w:rPr>
          <w:rFonts w:cs="Times New Roman"/>
          <w:b/>
          <w:bCs/>
          <w:szCs w:val="24"/>
        </w:rPr>
        <w:lastRenderedPageBreak/>
        <w:t>Apendice I</w:t>
      </w:r>
    </w:p>
    <w:p w:rsidR="0050014B" w:rsidRPr="00B94E40" w:rsidRDefault="0050014B" w:rsidP="002B2893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/>
          <w:bCs/>
          <w:szCs w:val="24"/>
        </w:rPr>
      </w:pPr>
    </w:p>
    <w:p w:rsidR="0050014B" w:rsidRPr="00B94E40" w:rsidRDefault="00B94E40" w:rsidP="0050014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Model de Certificat internaț</w:t>
      </w:r>
      <w:r w:rsidR="0050014B" w:rsidRPr="00B94E40">
        <w:rPr>
          <w:rFonts w:cs="Times New Roman"/>
          <w:b/>
          <w:bCs/>
          <w:szCs w:val="24"/>
        </w:rPr>
        <w:t>ional de prevenire a poluării atmosferei (IAPP) (Regula 8)</w:t>
      </w:r>
    </w:p>
    <w:p w:rsidR="0050014B" w:rsidRPr="00B94E40" w:rsidRDefault="0050014B" w:rsidP="0050014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/>
          <w:bCs/>
          <w:szCs w:val="24"/>
        </w:rPr>
      </w:pPr>
    </w:p>
    <w:p w:rsidR="0050014B" w:rsidRPr="00B94E40" w:rsidRDefault="0050014B" w:rsidP="0050014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/>
          <w:bCs/>
          <w:i/>
          <w:szCs w:val="24"/>
        </w:rPr>
      </w:pPr>
      <w:r w:rsidRPr="00B94E40">
        <w:rPr>
          <w:rFonts w:cs="Times New Roman"/>
          <w:b/>
          <w:bCs/>
          <w:i/>
          <w:szCs w:val="24"/>
        </w:rPr>
        <w:t>Supliment la Certificatul interna</w:t>
      </w:r>
      <w:r w:rsidR="00B94E40">
        <w:rPr>
          <w:rFonts w:cs="Times New Roman"/>
          <w:b/>
          <w:bCs/>
          <w:i/>
          <w:szCs w:val="24"/>
        </w:rPr>
        <w:t>ț</w:t>
      </w:r>
      <w:r w:rsidRPr="00B94E40">
        <w:rPr>
          <w:rFonts w:cs="Times New Roman"/>
          <w:b/>
          <w:bCs/>
          <w:i/>
          <w:szCs w:val="24"/>
        </w:rPr>
        <w:t>ional de prevenire a poluării atmosferei (Certificat IAPP)</w:t>
      </w:r>
    </w:p>
    <w:p w:rsidR="0050014B" w:rsidRPr="00B94E40" w:rsidRDefault="0050014B" w:rsidP="0050014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</w:p>
    <w:p w:rsidR="0050014B" w:rsidRPr="00B94E40" w:rsidRDefault="0050014B" w:rsidP="00655807">
      <w:pPr>
        <w:tabs>
          <w:tab w:val="left" w:pos="1134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>5</w:t>
      </w:r>
      <w:r w:rsidRPr="00B94E40">
        <w:rPr>
          <w:rFonts w:cs="Times New Roman"/>
          <w:bCs/>
          <w:szCs w:val="24"/>
        </w:rPr>
        <w:tab/>
        <w:t>Paragrafele 2.3.1 și 2.3.2 sunt înlocuite cu</w:t>
      </w:r>
      <w:r w:rsidR="003B5BAC" w:rsidRPr="00B94E40">
        <w:rPr>
          <w:rFonts w:cs="Times New Roman"/>
          <w:bCs/>
          <w:szCs w:val="24"/>
        </w:rPr>
        <w:t xml:space="preserve"> următoarele și un nou paragraf</w:t>
      </w:r>
      <w:r w:rsidRPr="00B94E40">
        <w:rPr>
          <w:rFonts w:cs="Times New Roman"/>
          <w:bCs/>
          <w:szCs w:val="24"/>
        </w:rPr>
        <w:t xml:space="preserve"> 2.3.3 este adăugat după cum urmează:</w:t>
      </w:r>
    </w:p>
    <w:p w:rsidR="0087210A" w:rsidRPr="00B94E40" w:rsidRDefault="0087210A" w:rsidP="0050014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</w:p>
    <w:p w:rsidR="0087210A" w:rsidRPr="00B94E40" w:rsidRDefault="0087210A" w:rsidP="0084399F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  <w:t>„2.3.1</w:t>
      </w:r>
      <w:r w:rsidRPr="00B94E40">
        <w:rPr>
          <w:rFonts w:cs="Times New Roman"/>
          <w:bCs/>
          <w:szCs w:val="24"/>
        </w:rPr>
        <w:tab/>
        <w:t xml:space="preserve">Când nava </w:t>
      </w:r>
      <w:r w:rsidR="00F33166" w:rsidRPr="00B94E40">
        <w:rPr>
          <w:rFonts w:cs="Times New Roman"/>
          <w:bCs/>
          <w:szCs w:val="24"/>
        </w:rPr>
        <w:t>operează</w:t>
      </w:r>
      <w:r w:rsidRPr="00B94E40">
        <w:rPr>
          <w:rFonts w:cs="Times New Roman"/>
          <w:bCs/>
          <w:szCs w:val="24"/>
        </w:rPr>
        <w:t xml:space="preserve"> în afara unei zone de control al emisiilor </w:t>
      </w:r>
      <w:r w:rsidR="00B460F0" w:rsidRPr="00B94E40">
        <w:rPr>
          <w:rFonts w:cs="Times New Roman"/>
          <w:bCs/>
          <w:szCs w:val="24"/>
        </w:rPr>
        <w:t>specificată</w:t>
      </w:r>
      <w:r w:rsidRPr="00B94E40">
        <w:rPr>
          <w:rFonts w:cs="Times New Roman"/>
          <w:bCs/>
          <w:szCs w:val="24"/>
        </w:rPr>
        <w:t xml:space="preserve"> în regula 14.3, nava folosește:</w:t>
      </w:r>
    </w:p>
    <w:p w:rsidR="0087210A" w:rsidRPr="00B94E40" w:rsidRDefault="0087210A" w:rsidP="0087210A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</w:p>
    <w:p w:rsidR="008641EB" w:rsidRPr="00B94E40" w:rsidRDefault="0087210A" w:rsidP="008A1275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  <w:t>.1</w:t>
      </w:r>
      <w:r w:rsidRPr="00B94E40">
        <w:rPr>
          <w:rFonts w:cs="Times New Roman"/>
          <w:bCs/>
          <w:szCs w:val="24"/>
        </w:rPr>
        <w:tab/>
        <w:t>combustibil lichid</w:t>
      </w:r>
      <w:r w:rsidR="008641EB" w:rsidRPr="00B94E40">
        <w:rPr>
          <w:rFonts w:cs="Times New Roman"/>
          <w:bCs/>
          <w:szCs w:val="24"/>
        </w:rPr>
        <w:t xml:space="preserve"> cu un conținut de sulf, așa cum este specificat în notele de livrare a </w:t>
      </w:r>
      <w:proofErr w:type="spellStart"/>
      <w:r w:rsidR="008641EB" w:rsidRPr="00B94E40">
        <w:rPr>
          <w:rFonts w:cs="Times New Roman"/>
          <w:bCs/>
          <w:szCs w:val="24"/>
        </w:rPr>
        <w:t>bunkerului</w:t>
      </w:r>
      <w:proofErr w:type="spellEnd"/>
      <w:r w:rsidR="008641EB" w:rsidRPr="00B94E40">
        <w:rPr>
          <w:rFonts w:cs="Times New Roman"/>
          <w:bCs/>
          <w:szCs w:val="24"/>
        </w:rPr>
        <w:t>, care nu depășește valoarea limită de 0,50% m/m și/sau</w:t>
      </w:r>
    </w:p>
    <w:p w:rsidR="008641EB" w:rsidRPr="00B94E40" w:rsidRDefault="008641EB" w:rsidP="002B3D7E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  <w:t>…………………………………………………………………………</w:t>
      </w:r>
      <w:r w:rsidRPr="00B94E40">
        <w:rPr>
          <w:rFonts w:cs="Times New Roman"/>
          <w:bCs/>
          <w:sz w:val="32"/>
          <w:szCs w:val="32"/>
        </w:rPr>
        <w:t>□</w:t>
      </w:r>
    </w:p>
    <w:p w:rsidR="008641EB" w:rsidRPr="00B94E40" w:rsidRDefault="008641EB" w:rsidP="002B3D7E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</w:p>
    <w:p w:rsidR="008641EB" w:rsidRPr="00B94E40" w:rsidRDefault="008641EB" w:rsidP="002B3D7E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  <w:t>.2</w:t>
      </w:r>
      <w:r w:rsidRPr="00B94E40">
        <w:rPr>
          <w:rFonts w:cs="Times New Roman"/>
          <w:bCs/>
          <w:szCs w:val="24"/>
        </w:rPr>
        <w:tab/>
        <w:t>un aranjament echivalent aprobat în conformitate cu regula 4.1, a</w:t>
      </w:r>
      <w:r w:rsidR="00B94E40">
        <w:rPr>
          <w:rFonts w:cs="Times New Roman"/>
          <w:bCs/>
          <w:szCs w:val="24"/>
        </w:rPr>
        <w:t>ș</w:t>
      </w:r>
      <w:r w:rsidR="003178A9" w:rsidRPr="00B94E40">
        <w:rPr>
          <w:rFonts w:cs="Times New Roman"/>
          <w:bCs/>
          <w:szCs w:val="24"/>
        </w:rPr>
        <w:t>a cum este indicat în</w:t>
      </w:r>
      <w:r w:rsidRPr="00B94E40">
        <w:rPr>
          <w:rFonts w:cs="Times New Roman"/>
          <w:bCs/>
          <w:szCs w:val="24"/>
        </w:rPr>
        <w:t xml:space="preserve"> paragraful 2.6</w:t>
      </w:r>
      <w:r w:rsidR="00827E2C" w:rsidRPr="00B94E40">
        <w:rPr>
          <w:rFonts w:cs="Times New Roman"/>
          <w:bCs/>
          <w:szCs w:val="24"/>
        </w:rPr>
        <w:t>,</w:t>
      </w:r>
      <w:r w:rsidRPr="00B94E40">
        <w:rPr>
          <w:rFonts w:cs="Times New Roman"/>
          <w:bCs/>
          <w:szCs w:val="24"/>
        </w:rPr>
        <w:t xml:space="preserve"> care este cel puțin </w:t>
      </w:r>
      <w:r w:rsidR="00132424" w:rsidRPr="00B94E40">
        <w:rPr>
          <w:rFonts w:cs="Times New Roman"/>
          <w:bCs/>
          <w:szCs w:val="24"/>
        </w:rPr>
        <w:t xml:space="preserve">la fel de eficient </w:t>
      </w:r>
      <w:r w:rsidR="006D2C19" w:rsidRPr="00B94E40">
        <w:rPr>
          <w:rFonts w:cs="Times New Roman"/>
          <w:bCs/>
          <w:szCs w:val="24"/>
        </w:rPr>
        <w:t xml:space="preserve">în ceea ce privește reducerea emisiilor de </w:t>
      </w:r>
      <w:proofErr w:type="spellStart"/>
      <w:r w:rsidR="006D2C19" w:rsidRPr="00B94E40">
        <w:rPr>
          <w:rFonts w:cs="Times New Roman"/>
          <w:bCs/>
          <w:szCs w:val="24"/>
        </w:rPr>
        <w:t>SO</w:t>
      </w:r>
      <w:r w:rsidR="006D2C19" w:rsidRPr="00B94E40">
        <w:rPr>
          <w:rFonts w:cs="Times New Roman"/>
          <w:bCs/>
          <w:szCs w:val="24"/>
          <w:vertAlign w:val="subscript"/>
        </w:rPr>
        <w:t>x</w:t>
      </w:r>
      <w:proofErr w:type="spellEnd"/>
      <w:r w:rsidR="006D2C19" w:rsidRPr="00B94E40">
        <w:rPr>
          <w:rFonts w:cs="Times New Roman"/>
          <w:bCs/>
          <w:szCs w:val="24"/>
        </w:rPr>
        <w:t xml:space="preserve"> </w:t>
      </w:r>
      <w:r w:rsidR="009A3BC7" w:rsidRPr="00B94E40">
        <w:rPr>
          <w:rFonts w:cs="Times New Roman"/>
          <w:bCs/>
          <w:szCs w:val="24"/>
        </w:rPr>
        <w:t>ca și</w:t>
      </w:r>
      <w:r w:rsidR="006D2C19" w:rsidRPr="00B94E40">
        <w:rPr>
          <w:rFonts w:cs="Times New Roman"/>
          <w:bCs/>
          <w:szCs w:val="24"/>
        </w:rPr>
        <w:t xml:space="preserve"> utilizarea unui combustibil lichid cu o valoare lim</w:t>
      </w:r>
      <w:r w:rsidR="00083F26" w:rsidRPr="00B94E40">
        <w:rPr>
          <w:rFonts w:cs="Times New Roman"/>
          <w:bCs/>
          <w:szCs w:val="24"/>
        </w:rPr>
        <w:t>ită a conținutului de sulf de 0,</w:t>
      </w:r>
      <w:r w:rsidR="006D2C19" w:rsidRPr="00B94E40">
        <w:rPr>
          <w:rFonts w:cs="Times New Roman"/>
          <w:bCs/>
          <w:szCs w:val="24"/>
        </w:rPr>
        <w:t>50% m/m</w:t>
      </w:r>
    </w:p>
    <w:p w:rsidR="00827E2C" w:rsidRPr="00B94E40" w:rsidRDefault="00827E2C" w:rsidP="002B3D7E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  <w:t>………………………………………………………………………….</w:t>
      </w:r>
      <w:r w:rsidRPr="00B94E40">
        <w:rPr>
          <w:rFonts w:cs="Times New Roman"/>
          <w:bCs/>
          <w:sz w:val="32"/>
          <w:szCs w:val="32"/>
        </w:rPr>
        <w:t>□</w:t>
      </w:r>
    </w:p>
    <w:p w:rsidR="00827E2C" w:rsidRPr="00B94E40" w:rsidRDefault="00827E2C" w:rsidP="002B3D7E">
      <w:pPr>
        <w:tabs>
          <w:tab w:val="left" w:pos="1134"/>
          <w:tab w:val="left" w:pos="1985"/>
        </w:tabs>
        <w:autoSpaceDE w:val="0"/>
        <w:autoSpaceDN w:val="0"/>
        <w:adjustRightInd w:val="0"/>
        <w:ind w:left="2835" w:hanging="2835"/>
        <w:rPr>
          <w:rFonts w:cs="Times New Roman"/>
          <w:bCs/>
          <w:szCs w:val="24"/>
        </w:rPr>
      </w:pPr>
    </w:p>
    <w:p w:rsidR="005234BA" w:rsidRPr="00B94E40" w:rsidRDefault="0084399F" w:rsidP="002B3D7E">
      <w:pPr>
        <w:tabs>
          <w:tab w:val="left" w:pos="1985"/>
        </w:tabs>
        <w:autoSpaceDE w:val="0"/>
        <w:autoSpaceDN w:val="0"/>
        <w:adjustRightInd w:val="0"/>
        <w:ind w:left="1134" w:hanging="1842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  <w:t>2.3.2</w:t>
      </w:r>
      <w:r w:rsidRPr="00B94E40">
        <w:rPr>
          <w:rFonts w:cs="Times New Roman"/>
          <w:bCs/>
          <w:szCs w:val="24"/>
        </w:rPr>
        <w:tab/>
      </w:r>
      <w:r w:rsidR="005234BA" w:rsidRPr="00B94E40">
        <w:rPr>
          <w:rFonts w:cs="Times New Roman"/>
          <w:bCs/>
          <w:szCs w:val="24"/>
        </w:rPr>
        <w:t xml:space="preserve">Când nava </w:t>
      </w:r>
      <w:r w:rsidR="00BF3E9E" w:rsidRPr="00B94E40">
        <w:rPr>
          <w:rFonts w:cs="Times New Roman"/>
          <w:bCs/>
          <w:szCs w:val="24"/>
        </w:rPr>
        <w:t>operează</w:t>
      </w:r>
      <w:r w:rsidR="005234BA" w:rsidRPr="00B94E40">
        <w:rPr>
          <w:rFonts w:cs="Times New Roman"/>
          <w:bCs/>
          <w:szCs w:val="24"/>
        </w:rPr>
        <w:t xml:space="preserve"> în interiorul u</w:t>
      </w:r>
      <w:r w:rsidR="00DB7D01" w:rsidRPr="00B94E40">
        <w:rPr>
          <w:rFonts w:cs="Times New Roman"/>
          <w:bCs/>
          <w:szCs w:val="24"/>
        </w:rPr>
        <w:t xml:space="preserve">nei zone de control al emisiilor </w:t>
      </w:r>
      <w:r w:rsidR="00D06E0C" w:rsidRPr="00B94E40">
        <w:rPr>
          <w:rFonts w:cs="Times New Roman"/>
          <w:bCs/>
          <w:szCs w:val="24"/>
        </w:rPr>
        <w:t>specificată</w:t>
      </w:r>
      <w:r w:rsidR="005234BA" w:rsidRPr="00B94E40">
        <w:rPr>
          <w:rFonts w:cs="Times New Roman"/>
          <w:bCs/>
          <w:szCs w:val="24"/>
        </w:rPr>
        <w:t xml:space="preserve"> </w:t>
      </w:r>
      <w:r w:rsidR="00756B69" w:rsidRPr="00B94E40">
        <w:rPr>
          <w:rFonts w:cs="Times New Roman"/>
          <w:bCs/>
          <w:szCs w:val="24"/>
        </w:rPr>
        <w:t>în regula 14.3, nava folosește:</w:t>
      </w:r>
    </w:p>
    <w:p w:rsidR="00D06E0C" w:rsidRPr="00B94E40" w:rsidRDefault="00D06E0C" w:rsidP="002B3D7E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</w:p>
    <w:p w:rsidR="00D06E0C" w:rsidRPr="00B94E40" w:rsidRDefault="00D06E0C" w:rsidP="002B3D7E">
      <w:pPr>
        <w:tabs>
          <w:tab w:val="left" w:pos="1134"/>
          <w:tab w:val="left" w:pos="1985"/>
        </w:tabs>
        <w:autoSpaceDE w:val="0"/>
        <w:autoSpaceDN w:val="0"/>
        <w:adjustRightInd w:val="0"/>
        <w:ind w:left="2832" w:hanging="3540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="0084399F" w:rsidRPr="00B94E40">
        <w:rPr>
          <w:rFonts w:cs="Times New Roman"/>
          <w:bCs/>
          <w:szCs w:val="24"/>
        </w:rPr>
        <w:tab/>
      </w:r>
      <w:r w:rsidR="008637ED" w:rsidRPr="00B94E40">
        <w:rPr>
          <w:rFonts w:cs="Times New Roman"/>
          <w:bCs/>
          <w:szCs w:val="24"/>
        </w:rPr>
        <w:t>.1</w:t>
      </w:r>
      <w:r w:rsidR="008637ED" w:rsidRPr="00B94E40">
        <w:rPr>
          <w:rFonts w:cs="Times New Roman"/>
          <w:bCs/>
          <w:szCs w:val="24"/>
        </w:rPr>
        <w:tab/>
        <w:t xml:space="preserve">combustibil lichid cu un conținut de sulf, așa cum este specificat în notele de livrare a </w:t>
      </w:r>
      <w:proofErr w:type="spellStart"/>
      <w:r w:rsidR="008637ED" w:rsidRPr="00B94E40">
        <w:rPr>
          <w:rFonts w:cs="Times New Roman"/>
          <w:bCs/>
          <w:szCs w:val="24"/>
        </w:rPr>
        <w:t>bunkerului</w:t>
      </w:r>
      <w:proofErr w:type="spellEnd"/>
      <w:r w:rsidR="008637ED" w:rsidRPr="00B94E40">
        <w:rPr>
          <w:rFonts w:cs="Times New Roman"/>
          <w:bCs/>
          <w:szCs w:val="24"/>
        </w:rPr>
        <w:t>, care nu depășește valoarea limită de 0,10% m/m și/sau</w:t>
      </w:r>
    </w:p>
    <w:p w:rsidR="008637ED" w:rsidRPr="00B94E40" w:rsidRDefault="008637ED" w:rsidP="002B3D7E">
      <w:pPr>
        <w:tabs>
          <w:tab w:val="left" w:pos="1134"/>
          <w:tab w:val="left" w:pos="1985"/>
        </w:tabs>
        <w:autoSpaceDE w:val="0"/>
        <w:autoSpaceDN w:val="0"/>
        <w:adjustRightInd w:val="0"/>
        <w:ind w:left="2832" w:hanging="3540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  <w:t>………………………………………………………………………….</w:t>
      </w:r>
      <w:r w:rsidRPr="00B94E40">
        <w:rPr>
          <w:rFonts w:cs="Times New Roman"/>
          <w:bCs/>
          <w:sz w:val="32"/>
          <w:szCs w:val="32"/>
        </w:rPr>
        <w:t>□</w:t>
      </w:r>
    </w:p>
    <w:p w:rsidR="008637ED" w:rsidRPr="00B94E40" w:rsidRDefault="008637ED" w:rsidP="002B3D7E">
      <w:pPr>
        <w:tabs>
          <w:tab w:val="left" w:pos="1134"/>
          <w:tab w:val="left" w:pos="1985"/>
        </w:tabs>
        <w:autoSpaceDE w:val="0"/>
        <w:autoSpaceDN w:val="0"/>
        <w:adjustRightInd w:val="0"/>
        <w:ind w:left="2832" w:hanging="2832"/>
        <w:rPr>
          <w:rFonts w:cs="Times New Roman"/>
          <w:bCs/>
          <w:szCs w:val="24"/>
        </w:rPr>
      </w:pPr>
    </w:p>
    <w:p w:rsidR="008637ED" w:rsidRPr="00B94E40" w:rsidRDefault="000550EA" w:rsidP="000550EA">
      <w:pPr>
        <w:tabs>
          <w:tab w:val="left" w:pos="1134"/>
          <w:tab w:val="left" w:pos="1985"/>
        </w:tabs>
        <w:autoSpaceDE w:val="0"/>
        <w:autoSpaceDN w:val="0"/>
        <w:adjustRightInd w:val="0"/>
        <w:ind w:left="2832" w:hanging="2832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="008637ED" w:rsidRPr="00B94E40">
        <w:rPr>
          <w:rFonts w:cs="Times New Roman"/>
          <w:bCs/>
          <w:szCs w:val="24"/>
        </w:rPr>
        <w:tab/>
        <w:t>.2</w:t>
      </w:r>
      <w:r w:rsidR="008637ED" w:rsidRPr="00B94E40">
        <w:rPr>
          <w:rFonts w:cs="Times New Roman"/>
          <w:bCs/>
          <w:szCs w:val="24"/>
        </w:rPr>
        <w:tab/>
      </w:r>
      <w:r w:rsidR="00AB7115" w:rsidRPr="00B94E40">
        <w:rPr>
          <w:rFonts w:cs="Times New Roman"/>
          <w:bCs/>
          <w:szCs w:val="24"/>
        </w:rPr>
        <w:t xml:space="preserve">un aranjament echivalent aprobat în conformitate cu </w:t>
      </w:r>
      <w:r w:rsidR="00B94E40">
        <w:rPr>
          <w:rFonts w:cs="Times New Roman"/>
          <w:bCs/>
          <w:szCs w:val="24"/>
        </w:rPr>
        <w:t>regula 4.1, aș</w:t>
      </w:r>
      <w:r w:rsidR="003178A9" w:rsidRPr="00B94E40">
        <w:rPr>
          <w:rFonts w:cs="Times New Roman"/>
          <w:bCs/>
          <w:szCs w:val="24"/>
        </w:rPr>
        <w:t>a cum este indicat în</w:t>
      </w:r>
      <w:r w:rsidR="00AB7115" w:rsidRPr="00B94E40">
        <w:rPr>
          <w:rFonts w:cs="Times New Roman"/>
          <w:bCs/>
          <w:szCs w:val="24"/>
        </w:rPr>
        <w:t xml:space="preserve"> paragraful 2.6, care este cel puțin la fel de eficient în ceea ce privește reducerea emisiilor de </w:t>
      </w:r>
      <w:proofErr w:type="spellStart"/>
      <w:r w:rsidR="00AB7115" w:rsidRPr="00B94E40">
        <w:rPr>
          <w:rFonts w:cs="Times New Roman"/>
          <w:bCs/>
          <w:szCs w:val="24"/>
        </w:rPr>
        <w:t>SO</w:t>
      </w:r>
      <w:r w:rsidR="00AB7115" w:rsidRPr="00B94E40">
        <w:rPr>
          <w:rFonts w:cs="Times New Roman"/>
          <w:bCs/>
          <w:szCs w:val="24"/>
          <w:vertAlign w:val="subscript"/>
        </w:rPr>
        <w:t>x</w:t>
      </w:r>
      <w:proofErr w:type="spellEnd"/>
      <w:r w:rsidR="00AB7115" w:rsidRPr="00B94E40">
        <w:rPr>
          <w:rFonts w:cs="Times New Roman"/>
          <w:bCs/>
          <w:szCs w:val="24"/>
        </w:rPr>
        <w:t xml:space="preserve"> ca și utilizarea unui combustibil lichid cu o valoare limi</w:t>
      </w:r>
      <w:r w:rsidR="00083F26" w:rsidRPr="00B94E40">
        <w:rPr>
          <w:rFonts w:cs="Times New Roman"/>
          <w:bCs/>
          <w:szCs w:val="24"/>
        </w:rPr>
        <w:t>tă a conținutului de sulf de 0,</w:t>
      </w:r>
      <w:r w:rsidR="00AB7115" w:rsidRPr="00B94E40">
        <w:rPr>
          <w:rFonts w:cs="Times New Roman"/>
          <w:bCs/>
          <w:szCs w:val="24"/>
        </w:rPr>
        <w:t>10% m/m</w:t>
      </w:r>
    </w:p>
    <w:p w:rsidR="004104A0" w:rsidRPr="00B94E40" w:rsidRDefault="004104A0" w:rsidP="000550EA">
      <w:pPr>
        <w:tabs>
          <w:tab w:val="left" w:pos="1134"/>
          <w:tab w:val="left" w:pos="1985"/>
        </w:tabs>
        <w:autoSpaceDE w:val="0"/>
        <w:autoSpaceDN w:val="0"/>
        <w:adjustRightInd w:val="0"/>
        <w:ind w:left="2832" w:hanging="2832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</w:r>
      <w:r w:rsidRPr="00B94E40">
        <w:rPr>
          <w:rFonts w:cs="Times New Roman"/>
          <w:bCs/>
          <w:szCs w:val="24"/>
        </w:rPr>
        <w:tab/>
        <w:t>………………………………………………………………………….</w:t>
      </w:r>
      <w:r w:rsidRPr="00B94E40">
        <w:rPr>
          <w:rFonts w:cs="Times New Roman"/>
          <w:bCs/>
          <w:sz w:val="32"/>
          <w:szCs w:val="32"/>
        </w:rPr>
        <w:t>□</w:t>
      </w:r>
    </w:p>
    <w:p w:rsidR="00D668F3" w:rsidRPr="00B94E40" w:rsidRDefault="00D668F3" w:rsidP="000550EA">
      <w:pPr>
        <w:tabs>
          <w:tab w:val="left" w:pos="1134"/>
          <w:tab w:val="left" w:pos="1985"/>
        </w:tabs>
        <w:autoSpaceDE w:val="0"/>
        <w:autoSpaceDN w:val="0"/>
        <w:adjustRightInd w:val="0"/>
        <w:ind w:left="2832" w:hanging="2832"/>
        <w:rPr>
          <w:rFonts w:cs="Times New Roman"/>
          <w:bCs/>
          <w:szCs w:val="24"/>
        </w:rPr>
      </w:pPr>
    </w:p>
    <w:p w:rsidR="00D668F3" w:rsidRPr="00B94E40" w:rsidRDefault="00D668F3" w:rsidP="0006360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  <w:t>2.3.3</w:t>
      </w:r>
      <w:r w:rsidRPr="00B94E40">
        <w:rPr>
          <w:rFonts w:cs="Times New Roman"/>
          <w:bCs/>
          <w:szCs w:val="24"/>
        </w:rPr>
        <w:tab/>
      </w:r>
      <w:r w:rsidR="003178A9" w:rsidRPr="00B94E40">
        <w:rPr>
          <w:rFonts w:cs="Times New Roman"/>
          <w:bCs/>
          <w:szCs w:val="24"/>
        </w:rPr>
        <w:t xml:space="preserve">Pentru o navă fără un aranjament echivalent aprobat în conformitate cu regula 4.1, așa cum este indicat în paragraful 2.6, </w:t>
      </w:r>
      <w:r w:rsidR="0032680A" w:rsidRPr="00B94E40">
        <w:rPr>
          <w:rFonts w:cs="Times New Roman"/>
          <w:bCs/>
          <w:szCs w:val="24"/>
        </w:rPr>
        <w:t xml:space="preserve">conținutul de sulf al combustibilului lichid transportat pentru a fi utilizat la bordul navei nu </w:t>
      </w:r>
      <w:r w:rsidR="00083F26" w:rsidRPr="00B94E40">
        <w:rPr>
          <w:rFonts w:cs="Times New Roman"/>
          <w:bCs/>
          <w:szCs w:val="24"/>
        </w:rPr>
        <w:t>trebuie să depășească 0,</w:t>
      </w:r>
      <w:r w:rsidR="0032680A" w:rsidRPr="00B94E40">
        <w:rPr>
          <w:rFonts w:cs="Times New Roman"/>
          <w:bCs/>
          <w:szCs w:val="24"/>
        </w:rPr>
        <w:t>50% m/m</w:t>
      </w:r>
      <w:r w:rsidR="00D46F28" w:rsidRPr="00B94E40">
        <w:rPr>
          <w:rFonts w:cs="Times New Roman"/>
          <w:bCs/>
          <w:szCs w:val="24"/>
        </w:rPr>
        <w:t xml:space="preserve"> așa cum este specificat în notele de livrare a </w:t>
      </w:r>
      <w:proofErr w:type="spellStart"/>
      <w:r w:rsidR="00D46F28" w:rsidRPr="00B94E40">
        <w:rPr>
          <w:rFonts w:cs="Times New Roman"/>
          <w:bCs/>
          <w:szCs w:val="24"/>
        </w:rPr>
        <w:t>bunkerului</w:t>
      </w:r>
      <w:proofErr w:type="spellEnd"/>
    </w:p>
    <w:p w:rsidR="0006360B" w:rsidRPr="00B94E40" w:rsidRDefault="0006360B" w:rsidP="0006360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ab/>
        <w:t>…………………………………………………………………………………………….</w:t>
      </w:r>
      <w:r w:rsidRPr="00B94E40">
        <w:rPr>
          <w:rFonts w:cs="Times New Roman"/>
          <w:bCs/>
          <w:sz w:val="32"/>
          <w:szCs w:val="32"/>
        </w:rPr>
        <w:t>□</w:t>
      </w:r>
      <w:r w:rsidRPr="00B94E40">
        <w:rPr>
          <w:rFonts w:cs="Times New Roman"/>
          <w:bCs/>
          <w:szCs w:val="24"/>
        </w:rPr>
        <w:t>”</w:t>
      </w:r>
    </w:p>
    <w:p w:rsidR="001D1B29" w:rsidRPr="00B94E40" w:rsidRDefault="001D1B29" w:rsidP="0006360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</w:p>
    <w:p w:rsidR="001D1B29" w:rsidRPr="00B94E40" w:rsidRDefault="001D1B29" w:rsidP="0006360B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rPr>
          <w:rFonts w:cs="Times New Roman"/>
          <w:bCs/>
          <w:szCs w:val="24"/>
        </w:rPr>
      </w:pPr>
    </w:p>
    <w:p w:rsidR="001D1B29" w:rsidRPr="00B94E40" w:rsidRDefault="001D1B29" w:rsidP="001D1B29">
      <w:pPr>
        <w:tabs>
          <w:tab w:val="left" w:pos="1134"/>
          <w:tab w:val="left" w:pos="1985"/>
        </w:tabs>
        <w:autoSpaceDE w:val="0"/>
        <w:autoSpaceDN w:val="0"/>
        <w:adjustRightInd w:val="0"/>
        <w:ind w:left="1134" w:hanging="1134"/>
        <w:jc w:val="center"/>
        <w:rPr>
          <w:rFonts w:cs="Times New Roman"/>
          <w:bCs/>
          <w:szCs w:val="24"/>
        </w:rPr>
      </w:pPr>
      <w:r w:rsidRPr="00B94E40">
        <w:rPr>
          <w:rFonts w:cs="Times New Roman"/>
          <w:bCs/>
          <w:szCs w:val="24"/>
        </w:rPr>
        <w:t>***</w:t>
      </w:r>
    </w:p>
    <w:sectPr w:rsidR="001D1B29" w:rsidRPr="00B94E40" w:rsidSect="00C24652">
      <w:footerReference w:type="default" r:id="rId7"/>
      <w:pgSz w:w="11907" w:h="16839" w:code="9"/>
      <w:pgMar w:top="851" w:right="851" w:bottom="851" w:left="1134" w:header="709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8C" w:rsidRDefault="004A068C">
      <w:r>
        <w:separator/>
      </w:r>
    </w:p>
  </w:endnote>
  <w:endnote w:type="continuationSeparator" w:id="0">
    <w:p w:rsidR="004A068C" w:rsidRDefault="004A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59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2E9" w:rsidRPr="000D6D9C" w:rsidRDefault="004842E9">
        <w:pPr>
          <w:pStyle w:val="Footer"/>
          <w:jc w:val="center"/>
        </w:pPr>
        <w:r w:rsidRPr="000D6D9C">
          <w:fldChar w:fldCharType="begin"/>
        </w:r>
        <w:r w:rsidRPr="000D6D9C">
          <w:instrText xml:space="preserve"> PAGE   \* MERGEFORMAT </w:instrText>
        </w:r>
        <w:r w:rsidRPr="000D6D9C">
          <w:fldChar w:fldCharType="separate"/>
        </w:r>
        <w:r w:rsidR="00C24652">
          <w:rPr>
            <w:noProof/>
          </w:rPr>
          <w:t>3</w:t>
        </w:r>
        <w:r w:rsidRPr="000D6D9C">
          <w:rPr>
            <w:noProof/>
          </w:rPr>
          <w:fldChar w:fldCharType="end"/>
        </w:r>
      </w:p>
    </w:sdtContent>
  </w:sdt>
  <w:p w:rsidR="00EF13D0" w:rsidRDefault="004A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8C" w:rsidRDefault="004A068C">
      <w:r>
        <w:separator/>
      </w:r>
    </w:p>
  </w:footnote>
  <w:footnote w:type="continuationSeparator" w:id="0">
    <w:p w:rsidR="004A068C" w:rsidRDefault="004A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DF9"/>
    <w:multiLevelType w:val="hybridMultilevel"/>
    <w:tmpl w:val="FEE6571A"/>
    <w:lvl w:ilvl="0" w:tplc="4C2CB2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AD8"/>
    <w:multiLevelType w:val="hybridMultilevel"/>
    <w:tmpl w:val="F612D3FA"/>
    <w:lvl w:ilvl="0" w:tplc="7DD24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C26"/>
    <w:multiLevelType w:val="hybridMultilevel"/>
    <w:tmpl w:val="D7E052B2"/>
    <w:lvl w:ilvl="0" w:tplc="9D60FA3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03A8"/>
    <w:multiLevelType w:val="hybridMultilevel"/>
    <w:tmpl w:val="0F0802C4"/>
    <w:lvl w:ilvl="0" w:tplc="44AA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38D0"/>
    <w:multiLevelType w:val="hybridMultilevel"/>
    <w:tmpl w:val="BB18207E"/>
    <w:lvl w:ilvl="0" w:tplc="E648D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6D0C"/>
    <w:multiLevelType w:val="hybridMultilevel"/>
    <w:tmpl w:val="B7861478"/>
    <w:lvl w:ilvl="0" w:tplc="36D03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5ECB"/>
    <w:multiLevelType w:val="hybridMultilevel"/>
    <w:tmpl w:val="E6281BE2"/>
    <w:lvl w:ilvl="0" w:tplc="9446C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628A7"/>
    <w:multiLevelType w:val="hybridMultilevel"/>
    <w:tmpl w:val="172C59E4"/>
    <w:lvl w:ilvl="0" w:tplc="A9C22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16B6655"/>
    <w:multiLevelType w:val="hybridMultilevel"/>
    <w:tmpl w:val="2FCE468E"/>
    <w:lvl w:ilvl="0" w:tplc="9A846222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7495"/>
    <w:multiLevelType w:val="hybridMultilevel"/>
    <w:tmpl w:val="4A6CA8DC"/>
    <w:lvl w:ilvl="0" w:tplc="2CC4C1FA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B1F12"/>
    <w:multiLevelType w:val="hybridMultilevel"/>
    <w:tmpl w:val="F8DEE496"/>
    <w:lvl w:ilvl="0" w:tplc="EDEC362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2715"/>
    <w:multiLevelType w:val="hybridMultilevel"/>
    <w:tmpl w:val="2610BD00"/>
    <w:lvl w:ilvl="0" w:tplc="DD523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D9"/>
    <w:rsid w:val="00002B7C"/>
    <w:rsid w:val="00005C05"/>
    <w:rsid w:val="0000673B"/>
    <w:rsid w:val="00017F60"/>
    <w:rsid w:val="000269E6"/>
    <w:rsid w:val="00032537"/>
    <w:rsid w:val="00033FE5"/>
    <w:rsid w:val="00047B61"/>
    <w:rsid w:val="000550EA"/>
    <w:rsid w:val="0005711D"/>
    <w:rsid w:val="0006360B"/>
    <w:rsid w:val="00070036"/>
    <w:rsid w:val="000742DF"/>
    <w:rsid w:val="00083F26"/>
    <w:rsid w:val="00084690"/>
    <w:rsid w:val="000861C4"/>
    <w:rsid w:val="00090673"/>
    <w:rsid w:val="00091CDC"/>
    <w:rsid w:val="000A0B2B"/>
    <w:rsid w:val="000A263C"/>
    <w:rsid w:val="000A3077"/>
    <w:rsid w:val="000A4D47"/>
    <w:rsid w:val="000A67D8"/>
    <w:rsid w:val="000C3237"/>
    <w:rsid w:val="000C59D7"/>
    <w:rsid w:val="000C6E83"/>
    <w:rsid w:val="000D6D9C"/>
    <w:rsid w:val="000E004D"/>
    <w:rsid w:val="000E2956"/>
    <w:rsid w:val="000E6FC2"/>
    <w:rsid w:val="000F2794"/>
    <w:rsid w:val="000F553F"/>
    <w:rsid w:val="00100CF3"/>
    <w:rsid w:val="001028FD"/>
    <w:rsid w:val="0010685F"/>
    <w:rsid w:val="00106BEC"/>
    <w:rsid w:val="00110B6A"/>
    <w:rsid w:val="00112B91"/>
    <w:rsid w:val="00113AD3"/>
    <w:rsid w:val="00116C4D"/>
    <w:rsid w:val="0012685A"/>
    <w:rsid w:val="00132424"/>
    <w:rsid w:val="001347C7"/>
    <w:rsid w:val="001414BA"/>
    <w:rsid w:val="001449FF"/>
    <w:rsid w:val="00150CF8"/>
    <w:rsid w:val="00162301"/>
    <w:rsid w:val="00167070"/>
    <w:rsid w:val="0018094C"/>
    <w:rsid w:val="0018122E"/>
    <w:rsid w:val="00190F32"/>
    <w:rsid w:val="00196E6D"/>
    <w:rsid w:val="001A1398"/>
    <w:rsid w:val="001B184F"/>
    <w:rsid w:val="001D1B29"/>
    <w:rsid w:val="001D324D"/>
    <w:rsid w:val="001D5A01"/>
    <w:rsid w:val="001D5E48"/>
    <w:rsid w:val="001E18A7"/>
    <w:rsid w:val="001E2A62"/>
    <w:rsid w:val="001E2FE8"/>
    <w:rsid w:val="001E6054"/>
    <w:rsid w:val="001F3BC9"/>
    <w:rsid w:val="001F5DB7"/>
    <w:rsid w:val="0020337B"/>
    <w:rsid w:val="002038BF"/>
    <w:rsid w:val="002042CD"/>
    <w:rsid w:val="0021074A"/>
    <w:rsid w:val="0021189E"/>
    <w:rsid w:val="00223822"/>
    <w:rsid w:val="00234521"/>
    <w:rsid w:val="002603BD"/>
    <w:rsid w:val="00265988"/>
    <w:rsid w:val="00295B21"/>
    <w:rsid w:val="00297EAE"/>
    <w:rsid w:val="002A47D2"/>
    <w:rsid w:val="002A6875"/>
    <w:rsid w:val="002B2893"/>
    <w:rsid w:val="002B3D7E"/>
    <w:rsid w:val="002B6C95"/>
    <w:rsid w:val="002B7AFD"/>
    <w:rsid w:val="002C19EA"/>
    <w:rsid w:val="002C2A85"/>
    <w:rsid w:val="002D253F"/>
    <w:rsid w:val="002D75D1"/>
    <w:rsid w:val="002D7927"/>
    <w:rsid w:val="002F6948"/>
    <w:rsid w:val="00300988"/>
    <w:rsid w:val="0030676D"/>
    <w:rsid w:val="003149B7"/>
    <w:rsid w:val="003178A9"/>
    <w:rsid w:val="00323B33"/>
    <w:rsid w:val="0032680A"/>
    <w:rsid w:val="00340087"/>
    <w:rsid w:val="00362F1D"/>
    <w:rsid w:val="003661DA"/>
    <w:rsid w:val="003673B7"/>
    <w:rsid w:val="0039701F"/>
    <w:rsid w:val="003A240E"/>
    <w:rsid w:val="003B14A9"/>
    <w:rsid w:val="003B3F1D"/>
    <w:rsid w:val="003B3FF1"/>
    <w:rsid w:val="003B5BAC"/>
    <w:rsid w:val="003E611F"/>
    <w:rsid w:val="003E62E0"/>
    <w:rsid w:val="004053D2"/>
    <w:rsid w:val="004104A0"/>
    <w:rsid w:val="00415220"/>
    <w:rsid w:val="00415B96"/>
    <w:rsid w:val="00417B52"/>
    <w:rsid w:val="004232FA"/>
    <w:rsid w:val="0042743D"/>
    <w:rsid w:val="00433FA4"/>
    <w:rsid w:val="00434EB0"/>
    <w:rsid w:val="0043647F"/>
    <w:rsid w:val="004459CD"/>
    <w:rsid w:val="004513AE"/>
    <w:rsid w:val="00455800"/>
    <w:rsid w:val="004620B9"/>
    <w:rsid w:val="0046315C"/>
    <w:rsid w:val="004700B5"/>
    <w:rsid w:val="00471A9C"/>
    <w:rsid w:val="00471DE2"/>
    <w:rsid w:val="00475543"/>
    <w:rsid w:val="00477C8C"/>
    <w:rsid w:val="004842E9"/>
    <w:rsid w:val="0049334D"/>
    <w:rsid w:val="004A068C"/>
    <w:rsid w:val="004A4820"/>
    <w:rsid w:val="004A66AE"/>
    <w:rsid w:val="004B3B02"/>
    <w:rsid w:val="004D3767"/>
    <w:rsid w:val="004D4318"/>
    <w:rsid w:val="004D7D59"/>
    <w:rsid w:val="004E18DC"/>
    <w:rsid w:val="004E3C30"/>
    <w:rsid w:val="004E59A4"/>
    <w:rsid w:val="004E6520"/>
    <w:rsid w:val="004E6C6B"/>
    <w:rsid w:val="004F013A"/>
    <w:rsid w:val="0050014B"/>
    <w:rsid w:val="00513E22"/>
    <w:rsid w:val="0052213D"/>
    <w:rsid w:val="00522710"/>
    <w:rsid w:val="005234BA"/>
    <w:rsid w:val="005261B2"/>
    <w:rsid w:val="00537E3F"/>
    <w:rsid w:val="00540526"/>
    <w:rsid w:val="00547A02"/>
    <w:rsid w:val="00552560"/>
    <w:rsid w:val="005612B6"/>
    <w:rsid w:val="00564C0F"/>
    <w:rsid w:val="005658B2"/>
    <w:rsid w:val="005667B6"/>
    <w:rsid w:val="00572A68"/>
    <w:rsid w:val="005867B2"/>
    <w:rsid w:val="0059642A"/>
    <w:rsid w:val="005A279E"/>
    <w:rsid w:val="005A320B"/>
    <w:rsid w:val="005A4B23"/>
    <w:rsid w:val="005C5735"/>
    <w:rsid w:val="005C758E"/>
    <w:rsid w:val="005D1A8B"/>
    <w:rsid w:val="005D42FC"/>
    <w:rsid w:val="005E5DEC"/>
    <w:rsid w:val="005F5561"/>
    <w:rsid w:val="0060650E"/>
    <w:rsid w:val="00612F9E"/>
    <w:rsid w:val="006145D5"/>
    <w:rsid w:val="0062215C"/>
    <w:rsid w:val="00624BDD"/>
    <w:rsid w:val="006264AD"/>
    <w:rsid w:val="00626A07"/>
    <w:rsid w:val="006361BD"/>
    <w:rsid w:val="00644968"/>
    <w:rsid w:val="0064639A"/>
    <w:rsid w:val="00655807"/>
    <w:rsid w:val="00661ADD"/>
    <w:rsid w:val="00667F74"/>
    <w:rsid w:val="00682B24"/>
    <w:rsid w:val="0068417A"/>
    <w:rsid w:val="00693372"/>
    <w:rsid w:val="00695670"/>
    <w:rsid w:val="00696DC4"/>
    <w:rsid w:val="006A7F90"/>
    <w:rsid w:val="006D2C19"/>
    <w:rsid w:val="006D38C0"/>
    <w:rsid w:val="006D63B3"/>
    <w:rsid w:val="006E3E9F"/>
    <w:rsid w:val="006F1965"/>
    <w:rsid w:val="006F6067"/>
    <w:rsid w:val="00715B2C"/>
    <w:rsid w:val="00724B54"/>
    <w:rsid w:val="00747645"/>
    <w:rsid w:val="00747D8A"/>
    <w:rsid w:val="007522C8"/>
    <w:rsid w:val="00756B69"/>
    <w:rsid w:val="007574C3"/>
    <w:rsid w:val="007632F7"/>
    <w:rsid w:val="0077173A"/>
    <w:rsid w:val="00774618"/>
    <w:rsid w:val="00776B58"/>
    <w:rsid w:val="0079139A"/>
    <w:rsid w:val="007A1F6B"/>
    <w:rsid w:val="007A756E"/>
    <w:rsid w:val="007B013A"/>
    <w:rsid w:val="007B3B66"/>
    <w:rsid w:val="007C5D6B"/>
    <w:rsid w:val="007C6A17"/>
    <w:rsid w:val="007C7B3E"/>
    <w:rsid w:val="007D000E"/>
    <w:rsid w:val="007D4E05"/>
    <w:rsid w:val="007E6758"/>
    <w:rsid w:val="008003D5"/>
    <w:rsid w:val="00800470"/>
    <w:rsid w:val="0080078C"/>
    <w:rsid w:val="008122A3"/>
    <w:rsid w:val="00821698"/>
    <w:rsid w:val="0082653E"/>
    <w:rsid w:val="00827E2C"/>
    <w:rsid w:val="00840108"/>
    <w:rsid w:val="0084399F"/>
    <w:rsid w:val="00851BA9"/>
    <w:rsid w:val="0086004E"/>
    <w:rsid w:val="00862D20"/>
    <w:rsid w:val="008637ED"/>
    <w:rsid w:val="008641EB"/>
    <w:rsid w:val="0087210A"/>
    <w:rsid w:val="008816DD"/>
    <w:rsid w:val="0088758C"/>
    <w:rsid w:val="00891297"/>
    <w:rsid w:val="008968F7"/>
    <w:rsid w:val="008A1275"/>
    <w:rsid w:val="008A2698"/>
    <w:rsid w:val="008A7556"/>
    <w:rsid w:val="008C3437"/>
    <w:rsid w:val="008D1A1E"/>
    <w:rsid w:val="008D52F8"/>
    <w:rsid w:val="008D62AA"/>
    <w:rsid w:val="008D6BA0"/>
    <w:rsid w:val="008D7450"/>
    <w:rsid w:val="008F6A68"/>
    <w:rsid w:val="009076F8"/>
    <w:rsid w:val="00910E81"/>
    <w:rsid w:val="00915E12"/>
    <w:rsid w:val="00921CB5"/>
    <w:rsid w:val="00922CF1"/>
    <w:rsid w:val="0092454E"/>
    <w:rsid w:val="009327EB"/>
    <w:rsid w:val="00935571"/>
    <w:rsid w:val="009366AD"/>
    <w:rsid w:val="00941B33"/>
    <w:rsid w:val="00941B7D"/>
    <w:rsid w:val="009572DF"/>
    <w:rsid w:val="009577E8"/>
    <w:rsid w:val="00967E46"/>
    <w:rsid w:val="00972CDA"/>
    <w:rsid w:val="009744C6"/>
    <w:rsid w:val="00987092"/>
    <w:rsid w:val="009952B8"/>
    <w:rsid w:val="009A2039"/>
    <w:rsid w:val="009A3BC7"/>
    <w:rsid w:val="009B121E"/>
    <w:rsid w:val="009B1FA0"/>
    <w:rsid w:val="009B64D0"/>
    <w:rsid w:val="009B69C2"/>
    <w:rsid w:val="009C7994"/>
    <w:rsid w:val="009D236B"/>
    <w:rsid w:val="009E1E01"/>
    <w:rsid w:val="009F165C"/>
    <w:rsid w:val="009F7C71"/>
    <w:rsid w:val="00A079F2"/>
    <w:rsid w:val="00A10871"/>
    <w:rsid w:val="00A151EA"/>
    <w:rsid w:val="00A2491F"/>
    <w:rsid w:val="00A35BD4"/>
    <w:rsid w:val="00A51071"/>
    <w:rsid w:val="00A51EE3"/>
    <w:rsid w:val="00A56385"/>
    <w:rsid w:val="00A61861"/>
    <w:rsid w:val="00A70315"/>
    <w:rsid w:val="00A8016A"/>
    <w:rsid w:val="00A8174C"/>
    <w:rsid w:val="00A83946"/>
    <w:rsid w:val="00A9138A"/>
    <w:rsid w:val="00A94633"/>
    <w:rsid w:val="00A94D19"/>
    <w:rsid w:val="00A97529"/>
    <w:rsid w:val="00AA191E"/>
    <w:rsid w:val="00AA38A5"/>
    <w:rsid w:val="00AA4498"/>
    <w:rsid w:val="00AA605E"/>
    <w:rsid w:val="00AB7115"/>
    <w:rsid w:val="00AE0801"/>
    <w:rsid w:val="00AE2218"/>
    <w:rsid w:val="00B06A4A"/>
    <w:rsid w:val="00B078E7"/>
    <w:rsid w:val="00B07EE9"/>
    <w:rsid w:val="00B15B6B"/>
    <w:rsid w:val="00B314E4"/>
    <w:rsid w:val="00B460F0"/>
    <w:rsid w:val="00B62EE5"/>
    <w:rsid w:val="00B64286"/>
    <w:rsid w:val="00B66DB2"/>
    <w:rsid w:val="00B873A9"/>
    <w:rsid w:val="00B878CB"/>
    <w:rsid w:val="00B92DBE"/>
    <w:rsid w:val="00B94E40"/>
    <w:rsid w:val="00BA47D9"/>
    <w:rsid w:val="00BC1812"/>
    <w:rsid w:val="00BE70E8"/>
    <w:rsid w:val="00BF3E9E"/>
    <w:rsid w:val="00BF4A49"/>
    <w:rsid w:val="00C0045F"/>
    <w:rsid w:val="00C11810"/>
    <w:rsid w:val="00C11E35"/>
    <w:rsid w:val="00C24652"/>
    <w:rsid w:val="00C25DD7"/>
    <w:rsid w:val="00C42D09"/>
    <w:rsid w:val="00C44C7E"/>
    <w:rsid w:val="00C4583B"/>
    <w:rsid w:val="00C5137C"/>
    <w:rsid w:val="00C525C9"/>
    <w:rsid w:val="00C532A4"/>
    <w:rsid w:val="00C540C6"/>
    <w:rsid w:val="00C65475"/>
    <w:rsid w:val="00C771F8"/>
    <w:rsid w:val="00C96707"/>
    <w:rsid w:val="00CA654A"/>
    <w:rsid w:val="00CB1E7E"/>
    <w:rsid w:val="00CB45D9"/>
    <w:rsid w:val="00CB5D03"/>
    <w:rsid w:val="00CB683E"/>
    <w:rsid w:val="00CC64E2"/>
    <w:rsid w:val="00CD3EFF"/>
    <w:rsid w:val="00CD6A32"/>
    <w:rsid w:val="00CF5579"/>
    <w:rsid w:val="00D0591A"/>
    <w:rsid w:val="00D064D5"/>
    <w:rsid w:val="00D06E0C"/>
    <w:rsid w:val="00D11D6D"/>
    <w:rsid w:val="00D14EA8"/>
    <w:rsid w:val="00D17B89"/>
    <w:rsid w:val="00D218C0"/>
    <w:rsid w:val="00D24033"/>
    <w:rsid w:val="00D444A7"/>
    <w:rsid w:val="00D46B38"/>
    <w:rsid w:val="00D46F28"/>
    <w:rsid w:val="00D470AD"/>
    <w:rsid w:val="00D50666"/>
    <w:rsid w:val="00D61F6D"/>
    <w:rsid w:val="00D668F3"/>
    <w:rsid w:val="00D72F1D"/>
    <w:rsid w:val="00D733F3"/>
    <w:rsid w:val="00D851E9"/>
    <w:rsid w:val="00D857B0"/>
    <w:rsid w:val="00D90A69"/>
    <w:rsid w:val="00D91784"/>
    <w:rsid w:val="00D929B7"/>
    <w:rsid w:val="00DA2938"/>
    <w:rsid w:val="00DB3A7B"/>
    <w:rsid w:val="00DB7D01"/>
    <w:rsid w:val="00DC1184"/>
    <w:rsid w:val="00DD07DC"/>
    <w:rsid w:val="00DD59BF"/>
    <w:rsid w:val="00DE6921"/>
    <w:rsid w:val="00DF241F"/>
    <w:rsid w:val="00DF4B67"/>
    <w:rsid w:val="00E04D50"/>
    <w:rsid w:val="00E1013F"/>
    <w:rsid w:val="00E206A5"/>
    <w:rsid w:val="00E276EA"/>
    <w:rsid w:val="00E42D5A"/>
    <w:rsid w:val="00E43153"/>
    <w:rsid w:val="00E47737"/>
    <w:rsid w:val="00E53725"/>
    <w:rsid w:val="00E56394"/>
    <w:rsid w:val="00E60FB2"/>
    <w:rsid w:val="00E67E53"/>
    <w:rsid w:val="00E77D12"/>
    <w:rsid w:val="00E92DFB"/>
    <w:rsid w:val="00E93A07"/>
    <w:rsid w:val="00E95167"/>
    <w:rsid w:val="00EA7D7A"/>
    <w:rsid w:val="00EB67FF"/>
    <w:rsid w:val="00EC0DBF"/>
    <w:rsid w:val="00ED79CC"/>
    <w:rsid w:val="00EE07DA"/>
    <w:rsid w:val="00EE0C8C"/>
    <w:rsid w:val="00EE614E"/>
    <w:rsid w:val="00EF02CF"/>
    <w:rsid w:val="00EF0B7B"/>
    <w:rsid w:val="00EF4C2F"/>
    <w:rsid w:val="00F177A2"/>
    <w:rsid w:val="00F217B5"/>
    <w:rsid w:val="00F236DF"/>
    <w:rsid w:val="00F33166"/>
    <w:rsid w:val="00F33FC7"/>
    <w:rsid w:val="00F37CE6"/>
    <w:rsid w:val="00F40445"/>
    <w:rsid w:val="00F434FA"/>
    <w:rsid w:val="00F4372B"/>
    <w:rsid w:val="00F46009"/>
    <w:rsid w:val="00F8559A"/>
    <w:rsid w:val="00FB0595"/>
    <w:rsid w:val="00FB4A48"/>
    <w:rsid w:val="00FB515D"/>
    <w:rsid w:val="00FB5203"/>
    <w:rsid w:val="00FC0105"/>
    <w:rsid w:val="00FC0357"/>
    <w:rsid w:val="00FC5581"/>
    <w:rsid w:val="00FD0906"/>
    <w:rsid w:val="00FD35D7"/>
    <w:rsid w:val="00FD652B"/>
    <w:rsid w:val="00FE4F60"/>
    <w:rsid w:val="00FF58BC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E4582-D607-4DE3-9656-55C89A6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styleId="Header">
    <w:name w:val="header"/>
    <w:basedOn w:val="Normal"/>
    <w:link w:val="HeaderChar"/>
    <w:uiPriority w:val="99"/>
    <w:unhideWhenUsed/>
    <w:rsid w:val="00484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E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F5DB7"/>
    <w:rPr>
      <w:color w:val="808080"/>
    </w:rPr>
  </w:style>
  <w:style w:type="table" w:styleId="TableGrid">
    <w:name w:val="Table Grid"/>
    <w:basedOn w:val="TableNormal"/>
    <w:uiPriority w:val="59"/>
    <w:rsid w:val="00A6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3</Pages>
  <Words>943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Doncea Bogdan Paul</cp:lastModifiedBy>
  <cp:revision>159</cp:revision>
  <dcterms:created xsi:type="dcterms:W3CDTF">2015-08-13T08:56:00Z</dcterms:created>
  <dcterms:modified xsi:type="dcterms:W3CDTF">2019-11-27T08:06:00Z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2956d400-4c2b-472b-a735-4e0e54176a4e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