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CD" w:rsidRDefault="00021DCD" w:rsidP="00850E37">
      <w:pPr>
        <w:pStyle w:val="Title"/>
        <w:rPr>
          <w:sz w:val="24"/>
        </w:rPr>
      </w:pPr>
      <w:bookmarkStart w:id="0" w:name="_GoBack"/>
      <w:bookmarkEnd w:id="0"/>
    </w:p>
    <w:p w:rsidR="00850E37" w:rsidRPr="002B2EC6" w:rsidRDefault="00850E37" w:rsidP="00850E37">
      <w:pPr>
        <w:pStyle w:val="Title"/>
        <w:rPr>
          <w:sz w:val="24"/>
        </w:rPr>
      </w:pPr>
      <w:r w:rsidRPr="002B2EC6">
        <w:rPr>
          <w:sz w:val="24"/>
        </w:rPr>
        <w:t>NOTĂ DE FUNDAMENTARE</w:t>
      </w:r>
    </w:p>
    <w:p w:rsidR="00021DCD" w:rsidRDefault="00021DCD" w:rsidP="008552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21DCD" w:rsidRDefault="00021DCD" w:rsidP="008552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850E37" w:rsidRPr="002B2EC6" w:rsidRDefault="00850E37" w:rsidP="008552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B2EC6">
        <w:rPr>
          <w:rFonts w:ascii="Times New Roman" w:hAnsi="Times New Roman" w:cs="Times New Roman"/>
          <w:b/>
          <w:bCs/>
          <w:sz w:val="24"/>
          <w:szCs w:val="24"/>
          <w:lang w:val="ro-RO"/>
        </w:rPr>
        <w:t>Secţiunea 1</w:t>
      </w:r>
    </w:p>
    <w:p w:rsidR="00850E37" w:rsidRDefault="00850E37" w:rsidP="00850E37">
      <w:pPr>
        <w:pStyle w:val="Heading1"/>
        <w:rPr>
          <w:lang w:val="ro-RO"/>
        </w:rPr>
      </w:pPr>
      <w:r w:rsidRPr="002B2EC6">
        <w:rPr>
          <w:lang w:val="ro-RO"/>
        </w:rPr>
        <w:t>Titlul proiectului de act normativ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850E37" w:rsidRPr="002B2EC6" w:rsidTr="00565BC9">
        <w:trPr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Ordonanță de urgență</w:t>
            </w:r>
            <w:r w:rsidR="001F7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7853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pentru prorogarea unor termene </w:t>
            </w:r>
            <w:r w:rsidR="00785353" w:rsidRPr="00E77A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privind stabilirea unor măsuri pentru asigurarea facilităților la transport pentru anumite categorii de persoane</w:t>
            </w:r>
          </w:p>
        </w:tc>
      </w:tr>
    </w:tbl>
    <w:p w:rsidR="00D77A32" w:rsidRDefault="00D77A32" w:rsidP="008552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D77A32" w:rsidRDefault="00D77A32" w:rsidP="008552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850E37" w:rsidRPr="002B2EC6" w:rsidRDefault="00850E37" w:rsidP="008552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B2EC6">
        <w:rPr>
          <w:rFonts w:ascii="Times New Roman" w:hAnsi="Times New Roman" w:cs="Times New Roman"/>
          <w:b/>
          <w:bCs/>
          <w:sz w:val="24"/>
          <w:szCs w:val="24"/>
          <w:lang w:val="ro-RO"/>
        </w:rPr>
        <w:t>Secţiunea a 2-a</w:t>
      </w:r>
    </w:p>
    <w:p w:rsidR="00850E37" w:rsidRPr="002B2EC6" w:rsidRDefault="00850E37" w:rsidP="00850E37">
      <w:pPr>
        <w:pStyle w:val="Heading1"/>
        <w:rPr>
          <w:lang w:val="ro-RO"/>
        </w:rPr>
      </w:pPr>
      <w:r w:rsidRPr="002B2EC6">
        <w:rPr>
          <w:lang w:val="ro-RO"/>
        </w:rPr>
        <w:t>Motivul emiterii actului normativ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7633"/>
      </w:tblGrid>
      <w:tr w:rsidR="002B2EC6" w:rsidRPr="002B2EC6" w:rsidTr="002B2EC6">
        <w:trPr>
          <w:trHeight w:val="1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Descrierea situaţiei actuale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BB" w:rsidRPr="002B2EC6" w:rsidRDefault="00D50BBB" w:rsidP="00855275">
            <w:pPr>
              <w:autoSpaceDE w:val="0"/>
              <w:autoSpaceDN w:val="0"/>
              <w:adjustRightInd w:val="0"/>
              <w:spacing w:after="0"/>
              <w:ind w:left="-4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prezent asigurarea </w:t>
            </w:r>
            <w:r w:rsidR="00A969E7"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facilitățil</w:t>
            </w: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</w:t>
            </w:r>
            <w:r w:rsidR="00A969E7"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acordate la transportul intern a veteranilor de război</w:t>
            </w: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văduvelor de război și pensionarilor sunt regleme</w:t>
            </w:r>
            <w:r w:rsidR="00AC05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 prin Legea nr. 44/1994 privind veteranii de război, precum şi unele drepturi ale invalizilor şi văduvelor de război, cu modificările și completările ulterioare, și de Legea nr. 147/2000 privind reducerile acordate pensionarilor pentru transportul intern, cu modificările și completările ulterioare, se poate face pe baza tichetelor de călătorie gratuite sau a taloanelor special de călătorie numai până la data de 31 decembrie 201</w:t>
            </w:r>
            <w:r w:rsidR="00E77A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    </w:t>
            </w:r>
          </w:p>
          <w:p w:rsidR="00673BC2" w:rsidRPr="002B2EC6" w:rsidRDefault="00FB1AA3" w:rsidP="00855275">
            <w:pPr>
              <w:autoSpaceDE w:val="0"/>
              <w:autoSpaceDN w:val="0"/>
              <w:adjustRightInd w:val="0"/>
              <w:spacing w:after="0"/>
              <w:ind w:left="-4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Conform prevederilor celor două acte normative, </w:t>
            </w:r>
            <w:r w:rsidR="00AC05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a beneficia de facilitățile</w:t>
            </w: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acordate prin lege, veteranilor de război, văduvelor de război și pensionarilor li se eliberează tichete de călătorie gratuite sau taloane speciale de călătorie cu reducere de 50% din costul călătoriei, după caz.</w:t>
            </w:r>
          </w:p>
        </w:tc>
      </w:tr>
      <w:tr w:rsidR="002B2EC6" w:rsidRPr="002B2EC6" w:rsidTr="002B2EC6">
        <w:trPr>
          <w:trHeight w:val="6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2.Schimbări preconizate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C9" w:rsidRDefault="004A5090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Având în vedere că, </w:t>
            </w:r>
          </w:p>
          <w:p w:rsidR="00565BC9" w:rsidRPr="00565BC9" w:rsidRDefault="004A5090" w:rsidP="00855275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5B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B546A6" w:rsidRPr="00565B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ână în prezent, în cardul național de sănătate nu a fost cuprinsă partiția pentru transport care să asigure utilizarea facilităților la călătoria pe calea ferată a beneficiarilor legilor speciale, respectiv Legea nr. 44/1994, cu modificările și completările ulterioare precum și de Legea nr. 147/2000, cu modificările și completările ulterioare,</w:t>
            </w:r>
            <w:r w:rsidRPr="00565B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4A5090" w:rsidRPr="00565BC9" w:rsidRDefault="004A5090" w:rsidP="00855275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5B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faptul că operatorii de transport feroviar de călători nu primesc fonduri de la bugetul de stat, fondurile proprii ale acestora fiind utilizate cu prioritate, pentru plata tarifului de utilizare a infrastructurii feroviare, plățile aferente către bugetul de stat și pentru lucrări de intreținere, reparații și/sau modernizare a materialului rulant.</w:t>
            </w:r>
          </w:p>
          <w:p w:rsidR="004A5090" w:rsidRPr="00565BC9" w:rsidRDefault="00565BC9" w:rsidP="00855275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5B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4A5090" w:rsidRPr="00565B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sigurarea cu cititoare de carduri a fiecărui material rulant, indiferent de distanța pe care o parcurge implicând un </w:t>
            </w:r>
            <w:r w:rsidRPr="00565B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necesar mare de fonduri alocate cu această destinație,</w:t>
            </w:r>
            <w:r w:rsidR="004A5090" w:rsidRPr="00565B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673BC2" w:rsidRDefault="00023EBF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 promovarea prezentului</w:t>
            </w:r>
            <w:r w:rsidR="00012F58"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 de act normativ</w:t>
            </w:r>
            <w:r w:rsidR="00012F58"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 </w:t>
            </w:r>
            <w:r w:rsidR="002011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propune</w:t>
            </w:r>
            <w:r w:rsidR="00673B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673BC2" w:rsidRPr="007612F6" w:rsidRDefault="00B546A6" w:rsidP="00D77A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012F58"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sigurarea facilităților la transport pentru persoanele îndreptățite</w:t>
            </w:r>
            <w:r w:rsidR="001A40D8"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conform prevederilor Legii nr. 44/1994 privind veteranii de război, precum şi unele drepturi ale invalizilor şi văduvelor de război, cu modificările și completările ulter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ioare</w:t>
            </w:r>
            <w:r w:rsidR="001A40D8"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</w:t>
            </w:r>
            <w:r w:rsidR="00D77A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Legii</w:t>
            </w:r>
            <w:r w:rsidR="001A40D8"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 147/2000 privind reducerile acordate pensionarilor pentru transportul intern, cu modificările și completările ulterioare</w:t>
            </w:r>
            <w:r w:rsid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</w:t>
            </w:r>
            <w:r w:rsidR="00012F58"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rin </w:t>
            </w:r>
            <w:r w:rsidR="001A40D8"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prorogarea termenelor impuse prin </w:t>
            </w:r>
            <w:hyperlink r:id="rId6" w:history="1">
              <w:r w:rsidR="001A40D8" w:rsidRPr="002B2EC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o-RO"/>
                </w:rPr>
                <w:t>art. V</w:t>
              </w:r>
            </w:hyperlink>
            <w:r w:rsidR="001A40D8" w:rsidRPr="002B2EC6">
              <w:rPr>
                <w:rStyle w:val="l5def3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şi </w:t>
            </w:r>
            <w:hyperlink r:id="rId7" w:history="1">
              <w:r w:rsidR="001A40D8" w:rsidRPr="002B2EC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o-RO"/>
                </w:rPr>
                <w:t>VII</w:t>
              </w:r>
            </w:hyperlink>
            <w:r w:rsidR="001A40D8" w:rsidRPr="002B2EC6">
              <w:rPr>
                <w:rStyle w:val="l5def3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din Ordonanţa Guvernului </w:t>
            </w:r>
            <w:hyperlink r:id="rId8" w:history="1">
              <w:r w:rsidR="001A40D8" w:rsidRPr="002B2EC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o-RO"/>
                </w:rPr>
                <w:t xml:space="preserve">nr. </w:t>
              </w:r>
              <w:r w:rsidR="001A40D8" w:rsidRPr="002B2EC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o-RO"/>
                </w:rPr>
                <w:lastRenderedPageBreak/>
                <w:t>8/2011</w:t>
              </w:r>
            </w:hyperlink>
            <w:r w:rsidR="001A40D8" w:rsidRPr="002B2EC6">
              <w:rPr>
                <w:rStyle w:val="l5def3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pentru modificarea şi completarea legislaţiei cu privire la eliberarea, gestionarea şi monitorizarea documentelor de călătorie acordate pensionarilor, veteranilor de război şi văduvelor de război, pâ</w:t>
            </w:r>
            <w:r w:rsidR="00D77A32">
              <w:rPr>
                <w:rStyle w:val="l5def3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nă la data de 31 decembrie 2021</w:t>
            </w:r>
            <w:r>
              <w:rPr>
                <w:rStyle w:val="l5def3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.  </w:t>
            </w:r>
            <w:r w:rsidR="0020114D">
              <w:rPr>
                <w:rStyle w:val="l5def3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Totodată, se propune și</w:t>
            </w:r>
            <w:r>
              <w:rPr>
                <w:rStyle w:val="l5def3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prorogarea t</w:t>
            </w:r>
            <w:r w:rsidRPr="002B2EC6">
              <w:rPr>
                <w:rStyle w:val="l5def6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ermenul prevăzut la </w:t>
            </w:r>
            <w:hyperlink r:id="rId9" w:history="1">
              <w:r w:rsidRPr="002B2EC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o-RO"/>
                </w:rPr>
                <w:t>alin. (2)</w:t>
              </w:r>
            </w:hyperlink>
            <w:r w:rsidRPr="002B2EC6">
              <w:rPr>
                <w:rStyle w:val="l5def6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al articolului unic din Ordonanţa Guvernului nr. 4/2013 pentru abrogarea unor prevederi din Legea </w:t>
            </w:r>
            <w:hyperlink r:id="rId10" w:history="1">
              <w:r w:rsidRPr="002B2EC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o-RO"/>
                </w:rPr>
                <w:t>nr. 211/2012</w:t>
              </w:r>
            </w:hyperlink>
            <w:r w:rsidRPr="002B2EC6">
              <w:rPr>
                <w:rStyle w:val="l5def6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privind aprobarea Ordonanţei Guvernului </w:t>
            </w:r>
            <w:hyperlink r:id="rId11" w:history="1">
              <w:r w:rsidRPr="002B2EC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o-RO"/>
                </w:rPr>
                <w:t>nr. 8/2011</w:t>
              </w:r>
            </w:hyperlink>
            <w:r w:rsidRPr="002B2EC6">
              <w:rPr>
                <w:rStyle w:val="l5def6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pentru modificarea şi completarea legislaţiei cu privire la eliberarea, gestionarea şi monitorizarea documentelor de călătorie acordate pensionarilor, veteranilor de război şi văduvelor de război</w:t>
            </w:r>
            <w:r>
              <w:rPr>
                <w:rStyle w:val="l5def6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, până la data de </w:t>
            </w:r>
            <w:r w:rsidR="00D77A32">
              <w:rPr>
                <w:rStyle w:val="l5def6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 ianuarie 2022</w:t>
            </w:r>
            <w:r>
              <w:rPr>
                <w:rStyle w:val="l5def6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</w:p>
        </w:tc>
      </w:tr>
      <w:tr w:rsidR="002B2EC6" w:rsidRPr="002B2EC6" w:rsidTr="002B2EC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3. Alte informaţii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au fost identificate</w:t>
            </w:r>
          </w:p>
        </w:tc>
      </w:tr>
    </w:tbl>
    <w:p w:rsidR="00850E37" w:rsidRPr="00A7111F" w:rsidRDefault="00850E37" w:rsidP="00855275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:rsidR="00D77A32" w:rsidRDefault="00D77A32" w:rsidP="00106B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850E37" w:rsidRPr="002B2EC6" w:rsidRDefault="00850E37" w:rsidP="00106B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B2EC6">
        <w:rPr>
          <w:rFonts w:ascii="Times New Roman" w:hAnsi="Times New Roman" w:cs="Times New Roman"/>
          <w:b/>
          <w:bCs/>
          <w:sz w:val="24"/>
          <w:szCs w:val="24"/>
          <w:lang w:val="ro-RO"/>
        </w:rPr>
        <w:t>Secţiunea a 3-a</w:t>
      </w:r>
    </w:p>
    <w:p w:rsidR="00850E37" w:rsidRPr="002B2EC6" w:rsidRDefault="00850E37" w:rsidP="00A7111F">
      <w:pPr>
        <w:pStyle w:val="Heading2"/>
        <w:rPr>
          <w:sz w:val="24"/>
          <w:szCs w:val="24"/>
          <w:lang w:val="ro-RO"/>
        </w:rPr>
      </w:pPr>
      <w:r w:rsidRPr="002B2EC6">
        <w:rPr>
          <w:sz w:val="24"/>
          <w:szCs w:val="24"/>
          <w:lang w:val="ro-RO"/>
        </w:rPr>
        <w:t>Impactul socio-economic al proiectului de act normativ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549"/>
      </w:tblGrid>
      <w:tr w:rsidR="002B2EC6" w:rsidRPr="002B2EC6" w:rsidTr="00106BA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Impactul macroeconomic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are impact în acest domeniu.</w:t>
            </w:r>
          </w:p>
        </w:tc>
      </w:tr>
      <w:tr w:rsidR="002B2EC6" w:rsidRPr="002B2EC6" w:rsidTr="00106BA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2B2EC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1</w:t>
            </w: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Impactul asupra mediului concurenţial şi domeniului ajutoarelor de stat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are impact în acest domeniu.</w:t>
            </w:r>
          </w:p>
        </w:tc>
      </w:tr>
      <w:tr w:rsidR="002B2EC6" w:rsidRPr="002B2EC6" w:rsidTr="00106BA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Impactul asupra mediului de afaceri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are impact în acest domeniu.</w:t>
            </w:r>
          </w:p>
        </w:tc>
      </w:tr>
      <w:tr w:rsidR="002B2EC6" w:rsidRPr="002B2EC6" w:rsidTr="00106BA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2B2EC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1</w:t>
            </w: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Impactul asupra sarcinilor administrative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are impact în acest domeniu.</w:t>
            </w:r>
          </w:p>
        </w:tc>
      </w:tr>
      <w:tr w:rsidR="002B2EC6" w:rsidRPr="002B2EC6" w:rsidTr="00106BA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2B2EC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Impactul asupra întreprinderilor mici și mijlocii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are impact în acest domeniu.</w:t>
            </w:r>
          </w:p>
        </w:tc>
      </w:tr>
      <w:tr w:rsidR="002B2EC6" w:rsidRPr="002B2EC6" w:rsidTr="00106BA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Impactul social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4A5090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sigurarea facilităților la transport pentru persoanele îndreptățite conform prevederilor Legii nr. 44/1994 privind veteranii de război, precum şi unele drepturi ale invalizilor şi văduvelor de război, cu modificările și completările ulter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ioare</w:t>
            </w: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de Legea nr. 147/2000 privind reducerile acordate pensionarilor pentru transportul intern, cu modificările și completările ulterioare</w:t>
            </w:r>
          </w:p>
        </w:tc>
      </w:tr>
      <w:tr w:rsidR="002B2EC6" w:rsidRPr="002B2EC6" w:rsidTr="00106BA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Impactul asupra mediului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are impact în acest domeniu.</w:t>
            </w:r>
          </w:p>
        </w:tc>
      </w:tr>
      <w:tr w:rsidR="002B2EC6" w:rsidRPr="002B2EC6" w:rsidTr="00106BA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Alte informaţii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au fost identificate.</w:t>
            </w:r>
          </w:p>
        </w:tc>
      </w:tr>
    </w:tbl>
    <w:p w:rsidR="00850E37" w:rsidRPr="00A7111F" w:rsidRDefault="00850E37" w:rsidP="00855275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:rsidR="00D77A32" w:rsidRDefault="00D77A32" w:rsidP="008552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850E37" w:rsidRPr="002B2EC6" w:rsidRDefault="00850E37" w:rsidP="008552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B2EC6">
        <w:rPr>
          <w:rFonts w:ascii="Times New Roman" w:hAnsi="Times New Roman" w:cs="Times New Roman"/>
          <w:b/>
          <w:bCs/>
          <w:sz w:val="24"/>
          <w:szCs w:val="24"/>
          <w:lang w:val="ro-RO"/>
        </w:rPr>
        <w:t>Secţiunea a-4a</w:t>
      </w:r>
    </w:p>
    <w:p w:rsidR="00850E37" w:rsidRDefault="00850E37" w:rsidP="0085527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B2EC6">
        <w:rPr>
          <w:rFonts w:ascii="Times New Roman" w:hAnsi="Times New Roman" w:cs="Times New Roman"/>
          <w:b/>
          <w:bCs/>
          <w:sz w:val="24"/>
          <w:szCs w:val="24"/>
          <w:lang w:val="ro-RO"/>
        </w:rPr>
        <w:t>Impactul financiar asupra bugetului general consolidat, atât pe termen scurt, pentru anul curent, cât şi pe termen lung (pe 5 ani)</w:t>
      </w:r>
      <w:r w:rsidRPr="002B2EC6">
        <w:rPr>
          <w:rFonts w:ascii="Times New Roman" w:hAnsi="Times New Roman" w:cs="Times New Roman"/>
          <w:sz w:val="24"/>
          <w:szCs w:val="24"/>
          <w:lang w:val="ro-RO"/>
        </w:rPr>
        <w:t>- mii Lei</w:t>
      </w:r>
    </w:p>
    <w:p w:rsidR="00B234A2" w:rsidRPr="002B2EC6" w:rsidRDefault="00B234A2" w:rsidP="0085527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090"/>
        <w:gridCol w:w="1085"/>
        <w:gridCol w:w="1033"/>
        <w:gridCol w:w="998"/>
        <w:gridCol w:w="998"/>
        <w:gridCol w:w="1649"/>
      </w:tblGrid>
      <w:tr w:rsidR="002B2EC6" w:rsidRPr="002B2EC6" w:rsidTr="002B2EC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2011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</w:t>
            </w:r>
          </w:p>
          <w:p w:rsidR="00850E37" w:rsidRPr="002B2EC6" w:rsidRDefault="00850E37" w:rsidP="002011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curent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176A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Următorii 4 ani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201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Media</w:t>
            </w:r>
            <w:r w:rsidR="002011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</w:t>
            </w:r>
            <w:r w:rsidR="002011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 ani</w:t>
            </w:r>
          </w:p>
        </w:tc>
      </w:tr>
      <w:tr w:rsidR="002B2EC6" w:rsidRPr="002B2EC6" w:rsidTr="002B2EC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176A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176A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176A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176A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176A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176A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176A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</w:tr>
      <w:tr w:rsidR="002B2EC6" w:rsidRPr="002B2EC6" w:rsidTr="002B2EC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1.Modificări ale veniturilor bugetare, plus/minus, din care:</w:t>
            </w:r>
          </w:p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a) buget de stat, din acesta:</w:t>
            </w:r>
          </w:p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(i) impozit pe profit</w:t>
            </w:r>
          </w:p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(ii) impozit pe venit</w:t>
            </w:r>
          </w:p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b) bugete locale:</w:t>
            </w:r>
          </w:p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(i) impozit pe profit</w:t>
            </w:r>
          </w:p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c) bugetul asigurărilor sociale de stat:</w:t>
            </w:r>
          </w:p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(i) contribuţii de asigurări</w:t>
            </w:r>
          </w:p>
        </w:tc>
        <w:tc>
          <w:tcPr>
            <w:tcW w:w="6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Proiectul de act normativ nu se referă la acest subiect.</w:t>
            </w:r>
          </w:p>
        </w:tc>
      </w:tr>
      <w:tr w:rsidR="002B2EC6" w:rsidRPr="002B2EC6" w:rsidTr="002B2EC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Modificări ale cheltuielilor bugetare, plus/ minus, din care:</w:t>
            </w:r>
          </w:p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a) buget de stat, din acesta:</w:t>
            </w:r>
          </w:p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(i) cheltuieli de personal</w:t>
            </w:r>
          </w:p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(ii) bunuri şi servicii</w:t>
            </w:r>
          </w:p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b) bugete locale:</w:t>
            </w:r>
          </w:p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(i) cheltuieli de personal</w:t>
            </w:r>
          </w:p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(ii) bunuri şi servicii</w:t>
            </w:r>
          </w:p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c) bugetul asigurărilor sociale de stat:</w:t>
            </w:r>
          </w:p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(i) cheltuieli de personal</w:t>
            </w:r>
          </w:p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(ii) bunuri şi servicii</w:t>
            </w:r>
          </w:p>
        </w:tc>
        <w:tc>
          <w:tcPr>
            <w:tcW w:w="6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2B2EC6" w:rsidRPr="002B2EC6" w:rsidTr="002B2EC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Impact financiar, plus/ minus, din care:</w:t>
            </w:r>
          </w:p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 de stat</w:t>
            </w:r>
          </w:p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bugete locale</w:t>
            </w:r>
          </w:p>
        </w:tc>
        <w:tc>
          <w:tcPr>
            <w:tcW w:w="6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2B2EC6" w:rsidRPr="002B2EC6" w:rsidTr="002B2EC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Propuneri pentru acoperirea creşterii cheltuielilor bugetare</w:t>
            </w:r>
          </w:p>
        </w:tc>
        <w:tc>
          <w:tcPr>
            <w:tcW w:w="6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2B2EC6" w:rsidRPr="002B2EC6" w:rsidTr="002B2EC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Propuneri pentru a compensa scăderea veniturilor bugetare</w:t>
            </w:r>
          </w:p>
        </w:tc>
        <w:tc>
          <w:tcPr>
            <w:tcW w:w="6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2B2EC6" w:rsidRPr="002B2EC6" w:rsidTr="002B2EC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 Calcule detaliate privind fundamentarea modificărilor veniturilor şi/sau cheltuielilor bugetare</w:t>
            </w:r>
          </w:p>
        </w:tc>
        <w:tc>
          <w:tcPr>
            <w:tcW w:w="6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2B2EC6" w:rsidRPr="002B2EC6" w:rsidTr="002B2EC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 Alte informaţii</w:t>
            </w:r>
          </w:p>
        </w:tc>
        <w:tc>
          <w:tcPr>
            <w:tcW w:w="6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au fost identificate.</w:t>
            </w:r>
          </w:p>
        </w:tc>
      </w:tr>
    </w:tbl>
    <w:p w:rsidR="00850E37" w:rsidRPr="00A7111F" w:rsidRDefault="00850E37" w:rsidP="00106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:rsidR="00D77A32" w:rsidRDefault="00D77A32" w:rsidP="00106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850E37" w:rsidRPr="002B2EC6" w:rsidRDefault="00850E37" w:rsidP="00106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B2EC6">
        <w:rPr>
          <w:rFonts w:ascii="Times New Roman" w:hAnsi="Times New Roman" w:cs="Times New Roman"/>
          <w:b/>
          <w:bCs/>
          <w:sz w:val="24"/>
          <w:szCs w:val="24"/>
          <w:lang w:val="ro-RO"/>
        </w:rPr>
        <w:t>Secţiunea a 5-a</w:t>
      </w:r>
    </w:p>
    <w:p w:rsidR="00850E37" w:rsidRDefault="00850E37" w:rsidP="00106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B2EC6">
        <w:rPr>
          <w:rFonts w:ascii="Times New Roman" w:hAnsi="Times New Roman" w:cs="Times New Roman"/>
          <w:b/>
          <w:bCs/>
          <w:sz w:val="24"/>
          <w:szCs w:val="24"/>
          <w:lang w:val="ro-RO"/>
        </w:rPr>
        <w:t>Efectele proiectului de act normativ asupra legislaţiei în vigoare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6879"/>
      </w:tblGrid>
      <w:tr w:rsidR="002B2EC6" w:rsidRPr="002B2EC6" w:rsidTr="002B2EC6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Măsuri normative necesare pentru aplicarea prevederilor proiectului de act normativ:</w:t>
            </w:r>
          </w:p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a) acte normative în vigoare ce vor fi modificate sau abrogate, ca urmare a intrării în vigoare a proiectului de act normativ;</w:t>
            </w:r>
          </w:p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b) acte normative ce urmează a fi elaborate în vederea implementării noilor dispoziţii.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DA" w:rsidRPr="002B2EC6" w:rsidRDefault="00AC05DA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lastRenderedPageBreak/>
              <w:t>Proiectul de act normativ nu se referă la acest subiect.</w:t>
            </w:r>
          </w:p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B2EC6" w:rsidRPr="002B2EC6" w:rsidTr="002B2EC6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tabs>
                <w:tab w:val="left" w:pos="34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2B2EC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1</w:t>
            </w: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.Compatibilitatea proiectului de act normativ cu legislația în domeniul achizițiilor publice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176A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Proiectul de act normativ nu se referă la acest subiect.</w:t>
            </w:r>
          </w:p>
          <w:p w:rsidR="00850E37" w:rsidRPr="002B2EC6" w:rsidRDefault="00850E37" w:rsidP="00176A67">
            <w:pPr>
              <w:tabs>
                <w:tab w:val="left" w:pos="134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</w:tr>
      <w:tr w:rsidR="002B2EC6" w:rsidRPr="002B2EC6" w:rsidTr="002B2EC6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176A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Conformitatea proiectului de act normativ cu legislaţia comunitară în cazul proiectelor ce transpun prevederi comunitare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176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2B2EC6" w:rsidRPr="002B2EC6" w:rsidTr="002B2EC6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176A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Măsuri normative necesare aplicării directe a actelor normative comunitare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176A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2B2EC6" w:rsidRPr="002B2EC6" w:rsidTr="002B2EC6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176A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Hotărâri ale Curţii de Justiţie a Uniunii Europene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176A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2B2EC6" w:rsidRPr="002B2EC6" w:rsidTr="002B2EC6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176A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Alte acte normative şi/sau documente internaţionale din care decurg angajamente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176A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2B2EC6" w:rsidRPr="002B2EC6" w:rsidTr="002B2EC6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176A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 Alte informaţii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176A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au fost identificate.</w:t>
            </w:r>
          </w:p>
        </w:tc>
      </w:tr>
    </w:tbl>
    <w:p w:rsidR="00106BA8" w:rsidRDefault="00106BA8" w:rsidP="008552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D77A32" w:rsidRDefault="00D77A32" w:rsidP="008552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850E37" w:rsidRPr="002B2EC6" w:rsidRDefault="00850E37" w:rsidP="008552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B2EC6">
        <w:rPr>
          <w:rFonts w:ascii="Times New Roman" w:hAnsi="Times New Roman" w:cs="Times New Roman"/>
          <w:b/>
          <w:bCs/>
          <w:sz w:val="24"/>
          <w:szCs w:val="24"/>
          <w:lang w:val="ro-RO"/>
        </w:rPr>
        <w:t>Secţiunea a 6-a</w:t>
      </w:r>
    </w:p>
    <w:p w:rsidR="00106BA8" w:rsidRPr="002B2EC6" w:rsidRDefault="00850E37" w:rsidP="0085527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B2EC6">
        <w:rPr>
          <w:rFonts w:ascii="Times New Roman" w:hAnsi="Times New Roman" w:cs="Times New Roman"/>
          <w:b/>
          <w:bCs/>
          <w:sz w:val="24"/>
          <w:szCs w:val="24"/>
          <w:lang w:val="ro-RO"/>
        </w:rPr>
        <w:t>Consultările efectuate în vederea elaborării proiectului de act normativ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6804"/>
      </w:tblGrid>
      <w:tr w:rsidR="002B2EC6" w:rsidRPr="002B2EC6" w:rsidTr="0020114D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Informaţii privind procesul de consultare cu organizaţii neguvernamentale, institute de cercetare şi alte organisme implicate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Menţionăm că au fost întreprinse/îndeplinite demersurile/procedurile legale privind transparența decizională, prevăzute de Legea nr. 52/2003 și de art. 7 alin. (1) din Regulamentul privind procedurile, la nivelul Guvernului, pentru elaborarea, avizarea şi prezentarea proiectelor de documente de politici publice, a proiectelor de acte normative, precum şi a altor documente, în vederea adoptării/aprobării, aprobat prin Hotărârea Guvernului nr. 561/2009.</w:t>
            </w:r>
          </w:p>
        </w:tc>
      </w:tr>
      <w:tr w:rsidR="002B2EC6" w:rsidRPr="002B2EC6" w:rsidTr="0020114D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Fundamentarea alegerii organizaţiilor cu care a avut loc consultarea, precum şi a modului în care activitatea acestor organizaţii este legată de obiectul proiectului de act normativ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2B2EC6" w:rsidRPr="002B2EC6" w:rsidTr="0020114D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Consultările organizate cu autorităţile administraţiei publice locale, în situaţia în care proiectul de act normativ are ca </w:t>
            </w: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obiect activităţi ale acestor autorităţi, în condiţiile Hotărârii de Guvern nr. 521/2005 privind procedura de consultare a structurilor asociative ale autorităţilor administraţiei publice locale la elaborarea proiectelor de acte normative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Proiectul de act normativ nu se referă la acest subiect.</w:t>
            </w:r>
          </w:p>
        </w:tc>
      </w:tr>
      <w:tr w:rsidR="002B2EC6" w:rsidRPr="002B2EC6" w:rsidTr="0020114D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Consultările desfăşurate în cadrul consiliilor interministeriale, în conformitate cu prevederile Hotărârii Guvernului nr. 750/2005 privind constituirea consiliilor interministeriale permanente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2B2EC6" w:rsidRPr="002B2EC6" w:rsidTr="0020114D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Informaţii privind avizarea de către:</w:t>
            </w:r>
          </w:p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Consiliul Legislativ</w:t>
            </w:r>
          </w:p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Consiliul Suprem de Apărare a Ţarii</w:t>
            </w:r>
          </w:p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Consiliul Economic şi Social</w:t>
            </w:r>
          </w:p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Consiliul Concurenţei</w:t>
            </w:r>
          </w:p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Curtea de Conturi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de act normativ </w:t>
            </w:r>
            <w:r w:rsidR="00F343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 fi</w:t>
            </w: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avizat de Consiliul Legislativ.</w:t>
            </w:r>
          </w:p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50E37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necesită avizul Consiliului Suprem de Apărare a Ţării, Consiliului Economic şi Social, Consiliului Concurenţei, Curţii de Conturi.</w:t>
            </w:r>
          </w:p>
          <w:p w:rsidR="00F3434A" w:rsidRDefault="00F3434A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3434A" w:rsidRPr="002B2EC6" w:rsidRDefault="00F3434A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B2EC6" w:rsidRPr="002B2EC6" w:rsidTr="0020114D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 Alte informaţii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au fost identificate.</w:t>
            </w:r>
          </w:p>
        </w:tc>
      </w:tr>
    </w:tbl>
    <w:p w:rsidR="00850E37" w:rsidRPr="00A7111F" w:rsidRDefault="00850E37" w:rsidP="00855275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:rsidR="00D77A32" w:rsidRDefault="00D77A32" w:rsidP="008552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20114D" w:rsidRDefault="00850E37" w:rsidP="008552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B2EC6">
        <w:rPr>
          <w:rFonts w:ascii="Times New Roman" w:hAnsi="Times New Roman" w:cs="Times New Roman"/>
          <w:b/>
          <w:bCs/>
          <w:sz w:val="24"/>
          <w:szCs w:val="24"/>
          <w:lang w:val="ro-RO"/>
        </w:rPr>
        <w:t>Secţiunea a 7-a</w:t>
      </w:r>
    </w:p>
    <w:p w:rsidR="00850E37" w:rsidRDefault="00850E37" w:rsidP="008552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B2EC6">
        <w:rPr>
          <w:rFonts w:ascii="Times New Roman" w:hAnsi="Times New Roman" w:cs="Times New Roman"/>
          <w:b/>
          <w:bCs/>
          <w:sz w:val="24"/>
          <w:szCs w:val="24"/>
          <w:lang w:val="ro-RO"/>
        </w:rPr>
        <w:t>Activităţi de informare publică privind elaborarea şi implementarea proiectului de act normativ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0"/>
        <w:gridCol w:w="6792"/>
      </w:tblGrid>
      <w:tr w:rsidR="002B2EC6" w:rsidRPr="002B2EC6" w:rsidTr="002B2EC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Informarea societăţii civile cu privire la necesitatea elaborării proiectului de act normativ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Menţionăm că au fost întreprinse/îndeplinite demersurile/procedurile legale privind transparența decizională, prevăzute de de Legea nr. 52/2003 și art. 7 alin. (1) din Regulamentul privind procedurile, la nivelul Guvernului, pentru elaborarea, avizarea şi prezentarea proiectelor de documente de politici publice, a proiectelor de acte normative, precum şi a altor documente, în vederea adoptării/aprobării, aprobat prin Hotărârea de Guvern nr. 561/2009.</w:t>
            </w:r>
          </w:p>
        </w:tc>
      </w:tr>
      <w:tr w:rsidR="002B2EC6" w:rsidRPr="002B2EC6" w:rsidTr="002B2EC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Informarea societăţii civile cu privire la eventualul impact asupra mediului în urma implementării proiectului de act normativ, precum şi efectele asupra sănătăţii şi securităţii cetăţenilor sau diversităţii biologice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2B2EC6" w:rsidRPr="002B2EC6" w:rsidTr="002B2EC6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Alte informaţii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au fost identificate.</w:t>
            </w:r>
          </w:p>
        </w:tc>
      </w:tr>
    </w:tbl>
    <w:p w:rsidR="00D77A32" w:rsidRDefault="00D77A32" w:rsidP="008552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D77A32" w:rsidRDefault="00D77A32" w:rsidP="008552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850E37" w:rsidRPr="002B2EC6" w:rsidRDefault="00850E37" w:rsidP="008552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B2EC6">
        <w:rPr>
          <w:rFonts w:ascii="Times New Roman" w:hAnsi="Times New Roman" w:cs="Times New Roman"/>
          <w:b/>
          <w:bCs/>
          <w:sz w:val="24"/>
          <w:szCs w:val="24"/>
          <w:lang w:val="ro-RO"/>
        </w:rPr>
        <w:t>Secţiunea a 8-a</w:t>
      </w:r>
    </w:p>
    <w:p w:rsidR="00850E37" w:rsidRDefault="00850E37" w:rsidP="008552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B2EC6">
        <w:rPr>
          <w:rFonts w:ascii="Times New Roman" w:hAnsi="Times New Roman" w:cs="Times New Roman"/>
          <w:b/>
          <w:bCs/>
          <w:sz w:val="24"/>
          <w:szCs w:val="24"/>
          <w:lang w:val="ro-RO"/>
        </w:rPr>
        <w:t>Măsuri de implementare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91"/>
      </w:tblGrid>
      <w:tr w:rsidR="002B2EC6" w:rsidRPr="002B2EC6" w:rsidTr="00B234A2">
        <w:tc>
          <w:tcPr>
            <w:tcW w:w="3261" w:type="dxa"/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Măsuri de punere în aplicare a proiectului de act normativ de către autorităţile administraţiei publice centrale şi/ sau locale – înfiinţarea unor noi organisme sau extinderea competenţelor instituţiilor existente</w:t>
            </w:r>
          </w:p>
        </w:tc>
        <w:tc>
          <w:tcPr>
            <w:tcW w:w="6691" w:type="dxa"/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2B2EC6" w:rsidRPr="002B2EC6" w:rsidTr="00B234A2">
        <w:tc>
          <w:tcPr>
            <w:tcW w:w="3261" w:type="dxa"/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Alte informaţii</w:t>
            </w:r>
          </w:p>
        </w:tc>
        <w:tc>
          <w:tcPr>
            <w:tcW w:w="6691" w:type="dxa"/>
          </w:tcPr>
          <w:p w:rsidR="00850E37" w:rsidRPr="002B2EC6" w:rsidRDefault="00850E37" w:rsidP="008552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au fost identificate.</w:t>
            </w:r>
          </w:p>
        </w:tc>
      </w:tr>
    </w:tbl>
    <w:p w:rsidR="00850E37" w:rsidRPr="002B2EC6" w:rsidRDefault="00850E37" w:rsidP="00855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0E37" w:rsidRDefault="00850E37" w:rsidP="001A40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2EC6">
        <w:rPr>
          <w:rFonts w:ascii="Times New Roman" w:hAnsi="Times New Roman" w:cs="Times New Roman"/>
          <w:sz w:val="24"/>
          <w:szCs w:val="24"/>
          <w:lang w:val="ro-RO"/>
        </w:rPr>
        <w:t xml:space="preserve">Având în vedere cele de mai sus, am elaborat prezentul proiect de </w:t>
      </w:r>
      <w:r w:rsidR="00C82F81" w:rsidRPr="00C82F81">
        <w:rPr>
          <w:rFonts w:ascii="Times New Roman" w:hAnsi="Times New Roman" w:cs="Times New Roman"/>
          <w:sz w:val="24"/>
          <w:szCs w:val="24"/>
          <w:lang w:val="ro-RO"/>
        </w:rPr>
        <w:t>act normativ</w:t>
      </w:r>
      <w:r w:rsidR="000020C8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, </w:t>
      </w:r>
      <w:r w:rsidRPr="002B2EC6">
        <w:rPr>
          <w:rFonts w:ascii="Times New Roman" w:hAnsi="Times New Roman" w:cs="Times New Roman"/>
          <w:sz w:val="24"/>
          <w:szCs w:val="24"/>
          <w:lang w:val="ro-RO"/>
        </w:rPr>
        <w:t xml:space="preserve"> pe care </w:t>
      </w:r>
      <w:r w:rsidR="000020C8">
        <w:rPr>
          <w:rFonts w:ascii="Times New Roman" w:hAnsi="Times New Roman" w:cs="Times New Roman"/>
          <w:sz w:val="24"/>
          <w:szCs w:val="24"/>
          <w:lang w:val="ro-RO"/>
        </w:rPr>
        <w:t xml:space="preserve">în forma avizată îl supunem spre </w:t>
      </w:r>
      <w:r w:rsidRPr="002B2EC6">
        <w:rPr>
          <w:rFonts w:ascii="Times New Roman" w:hAnsi="Times New Roman" w:cs="Times New Roman"/>
          <w:sz w:val="24"/>
          <w:szCs w:val="24"/>
          <w:lang w:val="ro-RO"/>
        </w:rPr>
        <w:t>aprob</w:t>
      </w:r>
      <w:r w:rsidR="000020C8">
        <w:rPr>
          <w:rFonts w:ascii="Times New Roman" w:hAnsi="Times New Roman" w:cs="Times New Roman"/>
          <w:sz w:val="24"/>
          <w:szCs w:val="24"/>
          <w:lang w:val="ro-RO"/>
        </w:rPr>
        <w:t>are</w:t>
      </w:r>
      <w:r w:rsidRPr="002B2EC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50E37" w:rsidRPr="002B2EC6" w:rsidRDefault="00850E37" w:rsidP="00850E37">
      <w:pPr>
        <w:ind w:right="-28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398"/>
      </w:tblGrid>
      <w:tr w:rsidR="002B2EC6" w:rsidRPr="002B2EC6" w:rsidTr="00D77A32">
        <w:trPr>
          <w:trHeight w:val="1156"/>
        </w:trPr>
        <w:tc>
          <w:tcPr>
            <w:tcW w:w="4945" w:type="dxa"/>
          </w:tcPr>
          <w:p w:rsidR="005A19F1" w:rsidRPr="002B2EC6" w:rsidRDefault="005A19F1" w:rsidP="005A1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MINISTRUL TRANSPORTURILOR</w:t>
            </w:r>
          </w:p>
          <w:p w:rsidR="000020C8" w:rsidRPr="002B2EC6" w:rsidRDefault="00E77A88" w:rsidP="00D7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ALEXANDRU-RĂZVAN CUC</w:t>
            </w:r>
          </w:p>
        </w:tc>
        <w:tc>
          <w:tcPr>
            <w:tcW w:w="5398" w:type="dxa"/>
          </w:tcPr>
          <w:p w:rsidR="005A19F1" w:rsidRPr="002B2EC6" w:rsidRDefault="002B2EC6" w:rsidP="002B2EC6">
            <w:pPr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B2E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MINISTRUL MUNCII ȘI JUSTIȚIEI SOCIALE</w:t>
            </w:r>
          </w:p>
          <w:p w:rsidR="002B2EC6" w:rsidRPr="002B2EC6" w:rsidRDefault="00E77A88" w:rsidP="002B2EC6">
            <w:pPr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MARIUS-CONSTANTIN BUDĂI</w:t>
            </w:r>
          </w:p>
          <w:p w:rsidR="002B2EC6" w:rsidRPr="002B2EC6" w:rsidRDefault="002B2EC6" w:rsidP="002B2EC6">
            <w:pPr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2B2EC6" w:rsidRDefault="002B2EC6" w:rsidP="002B2EC6">
            <w:pPr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77A32" w:rsidRDefault="00D77A32" w:rsidP="002B2EC6">
            <w:pPr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77A32" w:rsidRPr="002B2EC6" w:rsidRDefault="00D77A32" w:rsidP="002B2EC6">
            <w:pPr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F3434A" w:rsidRPr="002B2EC6" w:rsidRDefault="00F3434A" w:rsidP="00F3434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2EC6">
        <w:rPr>
          <w:rFonts w:ascii="Times New Roman" w:hAnsi="Times New Roman" w:cs="Times New Roman"/>
          <w:b/>
          <w:sz w:val="24"/>
          <w:szCs w:val="24"/>
          <w:lang w:val="ro-RO"/>
        </w:rPr>
        <w:t>MINISTRUL SĂNĂTĂȚII</w:t>
      </w:r>
    </w:p>
    <w:p w:rsidR="00AA6E82" w:rsidRDefault="00E77A88" w:rsidP="00F3434A">
      <w:pPr>
        <w:ind w:right="-285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SORINA PINTEA</w:t>
      </w:r>
    </w:p>
    <w:p w:rsidR="00F3434A" w:rsidRPr="002B2EC6" w:rsidRDefault="00F3434A" w:rsidP="00850E37">
      <w:pPr>
        <w:ind w:right="-28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0E37" w:rsidRPr="002B2EC6" w:rsidRDefault="00850E37" w:rsidP="00850E3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2B2EC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Avizăm favorabil:</w:t>
      </w:r>
    </w:p>
    <w:p w:rsidR="003E52E0" w:rsidRPr="002B2EC6" w:rsidRDefault="003E52E0" w:rsidP="003E52E0">
      <w:pPr>
        <w:ind w:right="-285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2EC6">
        <w:rPr>
          <w:rFonts w:ascii="Times New Roman" w:hAnsi="Times New Roman" w:cs="Times New Roman"/>
          <w:b/>
          <w:sz w:val="24"/>
          <w:szCs w:val="24"/>
          <w:lang w:val="ro-RO"/>
        </w:rPr>
        <w:t>CASA NAȚIONALĂ DE ASIGURĂRI DE SĂNĂTATE</w:t>
      </w:r>
    </w:p>
    <w:p w:rsidR="003E52E0" w:rsidRDefault="003E52E0" w:rsidP="00850E3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PREȘEDINTE</w:t>
      </w:r>
    </w:p>
    <w:p w:rsidR="003E52E0" w:rsidRDefault="00E77A88" w:rsidP="00850E3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VASILE CIURCHEA</w:t>
      </w:r>
    </w:p>
    <w:p w:rsidR="00E77A88" w:rsidRDefault="00E77A88" w:rsidP="00850E3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0E37" w:rsidRPr="002B2EC6" w:rsidRDefault="001A40D8" w:rsidP="00850E3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2EC6">
        <w:rPr>
          <w:rFonts w:ascii="Times New Roman" w:hAnsi="Times New Roman" w:cs="Times New Roman"/>
          <w:b/>
          <w:sz w:val="24"/>
          <w:szCs w:val="24"/>
          <w:lang w:val="ro-RO"/>
        </w:rPr>
        <w:t>MINISTRUL FINANȚELOR PUBLICE</w:t>
      </w:r>
    </w:p>
    <w:p w:rsidR="00E77A88" w:rsidRPr="00364D54" w:rsidRDefault="00E77A88" w:rsidP="00E77A88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64D54">
        <w:rPr>
          <w:rFonts w:ascii="Times New Roman" w:hAnsi="Times New Roman"/>
          <w:b/>
          <w:sz w:val="24"/>
          <w:szCs w:val="24"/>
          <w:lang w:val="ro-RO"/>
        </w:rPr>
        <w:t>EUGEN ORLANDO TEODOROVICI</w:t>
      </w:r>
    </w:p>
    <w:p w:rsidR="002B2EC6" w:rsidRDefault="002B2EC6" w:rsidP="00850E3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234A2" w:rsidRDefault="00B234A2" w:rsidP="00850E3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77A88" w:rsidRPr="00537DF4" w:rsidRDefault="00E77A88" w:rsidP="00E77A88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VICEPRIM-MINISTRU PENTRU IMPLEMENTAREA PARTENERIATELOR STRATEGICE ALE ROMÂNIEI, INTERIMAR</w:t>
      </w:r>
    </w:p>
    <w:p w:rsidR="00E77A88" w:rsidRPr="00537DF4" w:rsidRDefault="00E77A88" w:rsidP="00E77A88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37DF4">
        <w:rPr>
          <w:rFonts w:ascii="Times New Roman" w:hAnsi="Times New Roman"/>
          <w:b/>
          <w:sz w:val="24"/>
          <w:szCs w:val="24"/>
          <w:lang w:val="ro-RO"/>
        </w:rPr>
        <w:t>MINISTRUL JUSTIŢIEI</w:t>
      </w:r>
    </w:p>
    <w:p w:rsidR="00E77A88" w:rsidRDefault="00E77A88" w:rsidP="00E77A88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>ANA BIRCHALL</w:t>
      </w:r>
    </w:p>
    <w:p w:rsidR="0096679E" w:rsidRDefault="0096679E" w:rsidP="00E77A88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96679E" w:rsidTr="000006D6">
        <w:tc>
          <w:tcPr>
            <w:tcW w:w="3296" w:type="dxa"/>
          </w:tcPr>
          <w:p w:rsidR="0096679E" w:rsidRDefault="00E353CA" w:rsidP="00000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</w:t>
            </w:r>
            <w:r w:rsidR="0096679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ECRETAR DE STAT</w:t>
            </w:r>
          </w:p>
          <w:p w:rsidR="0096679E" w:rsidRDefault="00E353CA" w:rsidP="00000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Dragoș Virgil TITEA</w:t>
            </w:r>
          </w:p>
        </w:tc>
        <w:tc>
          <w:tcPr>
            <w:tcW w:w="3297" w:type="dxa"/>
          </w:tcPr>
          <w:p w:rsidR="0096679E" w:rsidRDefault="0096679E" w:rsidP="00000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97" w:type="dxa"/>
          </w:tcPr>
          <w:p w:rsidR="0096679E" w:rsidRDefault="0096679E" w:rsidP="00000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SECRETAR DE STAT</w:t>
            </w:r>
          </w:p>
          <w:p w:rsidR="0096679E" w:rsidRDefault="00CF2685" w:rsidP="00000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MARIUS HUMELNICU</w:t>
            </w:r>
          </w:p>
        </w:tc>
      </w:tr>
    </w:tbl>
    <w:p w:rsidR="0096679E" w:rsidRDefault="0096679E" w:rsidP="00966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679E" w:rsidRDefault="0096679E" w:rsidP="00966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679E" w:rsidRDefault="0096679E" w:rsidP="00966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679E" w:rsidRDefault="0096679E" w:rsidP="00966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Secretar General</w:t>
      </w:r>
    </w:p>
    <w:p w:rsidR="0096679E" w:rsidRDefault="0096679E" w:rsidP="00966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Petre NEACȘA</w:t>
      </w:r>
    </w:p>
    <w:p w:rsidR="0096679E" w:rsidRDefault="0096679E" w:rsidP="00966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353CA" w:rsidRDefault="00E353CA" w:rsidP="00966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353CA" w:rsidRDefault="00E353CA" w:rsidP="00966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679E" w:rsidRDefault="0096679E" w:rsidP="00966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679E" w:rsidRDefault="00E353CA" w:rsidP="00966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D.A.</w:t>
      </w:r>
    </w:p>
    <w:p w:rsidR="0096679E" w:rsidRDefault="0096679E" w:rsidP="00966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Director </w:t>
      </w:r>
    </w:p>
    <w:p w:rsidR="00E353CA" w:rsidRDefault="00E353CA" w:rsidP="00966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Marina Daniela DEUȘAN</w:t>
      </w:r>
    </w:p>
    <w:p w:rsidR="0096679E" w:rsidRDefault="0096679E" w:rsidP="00966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353CA" w:rsidRDefault="00E353CA" w:rsidP="00966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353CA" w:rsidRDefault="00E353CA" w:rsidP="00966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353CA" w:rsidRDefault="00E353CA" w:rsidP="00966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679E" w:rsidRDefault="0096679E" w:rsidP="00966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D.E.</w:t>
      </w:r>
    </w:p>
    <w:p w:rsidR="0096679E" w:rsidRDefault="0096679E" w:rsidP="00966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Director</w:t>
      </w:r>
    </w:p>
    <w:p w:rsidR="0096679E" w:rsidRDefault="0096679E" w:rsidP="00966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Laura GÎRLĂ</w:t>
      </w:r>
    </w:p>
    <w:p w:rsidR="0096679E" w:rsidRDefault="0096679E" w:rsidP="00966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679E" w:rsidRDefault="0096679E" w:rsidP="00966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679E" w:rsidRPr="002B2EC6" w:rsidRDefault="0096679E" w:rsidP="00966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679E" w:rsidRDefault="0096679E" w:rsidP="00966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96679E" w:rsidTr="000006D6">
        <w:tc>
          <w:tcPr>
            <w:tcW w:w="3296" w:type="dxa"/>
          </w:tcPr>
          <w:p w:rsidR="0096679E" w:rsidRDefault="0096679E" w:rsidP="00000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Direcția Transport Feroviar</w:t>
            </w:r>
          </w:p>
          <w:p w:rsidR="0096679E" w:rsidRDefault="0096679E" w:rsidP="00000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  <w:p w:rsidR="0096679E" w:rsidRDefault="00E353CA" w:rsidP="00000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Simona ISTRATE</w:t>
            </w:r>
          </w:p>
        </w:tc>
        <w:tc>
          <w:tcPr>
            <w:tcW w:w="3297" w:type="dxa"/>
          </w:tcPr>
          <w:p w:rsidR="0096679E" w:rsidRDefault="0096679E" w:rsidP="00000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Direcția Transport Rutier</w:t>
            </w:r>
          </w:p>
          <w:p w:rsidR="0096679E" w:rsidRDefault="0096679E" w:rsidP="00000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  <w:p w:rsidR="00E353CA" w:rsidRDefault="00E353CA" w:rsidP="00000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Adriana KALAPIS</w:t>
            </w:r>
          </w:p>
        </w:tc>
        <w:tc>
          <w:tcPr>
            <w:tcW w:w="3297" w:type="dxa"/>
          </w:tcPr>
          <w:p w:rsidR="0096679E" w:rsidRDefault="0096679E" w:rsidP="00000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Direcția Transport Naval</w:t>
            </w:r>
          </w:p>
          <w:p w:rsidR="0096679E" w:rsidRDefault="0096679E" w:rsidP="00000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  <w:p w:rsidR="0096679E" w:rsidRDefault="0096679E" w:rsidP="00000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Gabriela Murgeanu</w:t>
            </w:r>
          </w:p>
        </w:tc>
      </w:tr>
    </w:tbl>
    <w:p w:rsidR="0096679E" w:rsidRPr="00537DF4" w:rsidRDefault="0096679E" w:rsidP="00E77A88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2120A" w:rsidRDefault="0012120A" w:rsidP="007B56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12120A" w:rsidSect="00106BA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E64C6"/>
    <w:multiLevelType w:val="hybridMultilevel"/>
    <w:tmpl w:val="F9D27D62"/>
    <w:lvl w:ilvl="0" w:tplc="4D228F4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E6ECD"/>
    <w:multiLevelType w:val="hybridMultilevel"/>
    <w:tmpl w:val="D1A2D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C0A22"/>
    <w:multiLevelType w:val="hybridMultilevel"/>
    <w:tmpl w:val="5FE8A8F6"/>
    <w:lvl w:ilvl="0" w:tplc="1A6AAE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4C"/>
    <w:rsid w:val="000020C8"/>
    <w:rsid w:val="00012F58"/>
    <w:rsid w:val="0001581F"/>
    <w:rsid w:val="00021DCD"/>
    <w:rsid w:val="00023EBF"/>
    <w:rsid w:val="00027E8C"/>
    <w:rsid w:val="00033F98"/>
    <w:rsid w:val="00045C0D"/>
    <w:rsid w:val="000D09E3"/>
    <w:rsid w:val="000E09DF"/>
    <w:rsid w:val="00106BA8"/>
    <w:rsid w:val="0012120A"/>
    <w:rsid w:val="001312F7"/>
    <w:rsid w:val="001643F0"/>
    <w:rsid w:val="001A2638"/>
    <w:rsid w:val="001A40D8"/>
    <w:rsid w:val="001A5C8B"/>
    <w:rsid w:val="001F7E2B"/>
    <w:rsid w:val="0020114D"/>
    <w:rsid w:val="002B2EC6"/>
    <w:rsid w:val="003426FE"/>
    <w:rsid w:val="00364B6D"/>
    <w:rsid w:val="003849BF"/>
    <w:rsid w:val="00390F96"/>
    <w:rsid w:val="003A0D9E"/>
    <w:rsid w:val="003D6ECE"/>
    <w:rsid w:val="003E041A"/>
    <w:rsid w:val="003E52E0"/>
    <w:rsid w:val="00404FEC"/>
    <w:rsid w:val="004A5090"/>
    <w:rsid w:val="00565BC9"/>
    <w:rsid w:val="005A19F1"/>
    <w:rsid w:val="00633835"/>
    <w:rsid w:val="00635E71"/>
    <w:rsid w:val="00652043"/>
    <w:rsid w:val="006656FC"/>
    <w:rsid w:val="00673BC2"/>
    <w:rsid w:val="006A0AB7"/>
    <w:rsid w:val="00706483"/>
    <w:rsid w:val="007612F6"/>
    <w:rsid w:val="00770641"/>
    <w:rsid w:val="00785353"/>
    <w:rsid w:val="00797B52"/>
    <w:rsid w:val="007A6843"/>
    <w:rsid w:val="007B1783"/>
    <w:rsid w:val="007B5691"/>
    <w:rsid w:val="007F1E4C"/>
    <w:rsid w:val="00823422"/>
    <w:rsid w:val="00850E37"/>
    <w:rsid w:val="00855275"/>
    <w:rsid w:val="0091278E"/>
    <w:rsid w:val="00925367"/>
    <w:rsid w:val="00950A41"/>
    <w:rsid w:val="0096679E"/>
    <w:rsid w:val="00A3582F"/>
    <w:rsid w:val="00A6775C"/>
    <w:rsid w:val="00A7111F"/>
    <w:rsid w:val="00A969E7"/>
    <w:rsid w:val="00AA6E82"/>
    <w:rsid w:val="00AB66A8"/>
    <w:rsid w:val="00AC05DA"/>
    <w:rsid w:val="00AD46F1"/>
    <w:rsid w:val="00AE0F82"/>
    <w:rsid w:val="00B234A2"/>
    <w:rsid w:val="00B546A6"/>
    <w:rsid w:val="00B74666"/>
    <w:rsid w:val="00BA45F6"/>
    <w:rsid w:val="00BD029B"/>
    <w:rsid w:val="00BF45E8"/>
    <w:rsid w:val="00C27C79"/>
    <w:rsid w:val="00C82F81"/>
    <w:rsid w:val="00CB53AA"/>
    <w:rsid w:val="00CC0B38"/>
    <w:rsid w:val="00CC6FCB"/>
    <w:rsid w:val="00CE66AC"/>
    <w:rsid w:val="00CF2685"/>
    <w:rsid w:val="00D169F9"/>
    <w:rsid w:val="00D44EE3"/>
    <w:rsid w:val="00D50BBB"/>
    <w:rsid w:val="00D77A32"/>
    <w:rsid w:val="00DB7301"/>
    <w:rsid w:val="00E353CA"/>
    <w:rsid w:val="00E44382"/>
    <w:rsid w:val="00E77A88"/>
    <w:rsid w:val="00E90537"/>
    <w:rsid w:val="00F3434A"/>
    <w:rsid w:val="00F362BD"/>
    <w:rsid w:val="00F85C14"/>
    <w:rsid w:val="00FB1AA3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67430-58C2-4731-816E-078AB10E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FE"/>
  </w:style>
  <w:style w:type="paragraph" w:styleId="Heading1">
    <w:name w:val="heading 1"/>
    <w:basedOn w:val="Normal"/>
    <w:next w:val="Normal"/>
    <w:link w:val="Heading1Char"/>
    <w:qFormat/>
    <w:rsid w:val="00850E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fr-FR" w:eastAsia="ro-RO"/>
    </w:rPr>
  </w:style>
  <w:style w:type="paragraph" w:styleId="Heading2">
    <w:name w:val="heading 2"/>
    <w:basedOn w:val="Normal"/>
    <w:next w:val="Normal"/>
    <w:link w:val="Heading2Char"/>
    <w:qFormat/>
    <w:rsid w:val="00850E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1E4C"/>
    <w:rPr>
      <w:color w:val="0000FF"/>
      <w:u w:val="single"/>
    </w:rPr>
  </w:style>
  <w:style w:type="character" w:customStyle="1" w:styleId="l5prm1">
    <w:name w:val="l5prm1"/>
    <w:basedOn w:val="DefaultParagraphFont"/>
    <w:rsid w:val="007F1E4C"/>
    <w:rPr>
      <w:i/>
      <w:iCs/>
      <w:color w:val="000000"/>
      <w:sz w:val="26"/>
      <w:szCs w:val="26"/>
    </w:rPr>
  </w:style>
  <w:style w:type="character" w:customStyle="1" w:styleId="l5prm2">
    <w:name w:val="l5prm2"/>
    <w:basedOn w:val="DefaultParagraphFont"/>
    <w:rsid w:val="007F1E4C"/>
    <w:rPr>
      <w:i/>
      <w:iCs/>
      <w:color w:val="000000"/>
      <w:sz w:val="26"/>
      <w:szCs w:val="26"/>
    </w:rPr>
  </w:style>
  <w:style w:type="character" w:customStyle="1" w:styleId="l5prm3">
    <w:name w:val="l5prm3"/>
    <w:basedOn w:val="DefaultParagraphFont"/>
    <w:rsid w:val="007F1E4C"/>
    <w:rPr>
      <w:i/>
      <w:iCs/>
      <w:color w:val="000000"/>
      <w:sz w:val="26"/>
      <w:szCs w:val="26"/>
    </w:rPr>
  </w:style>
  <w:style w:type="character" w:customStyle="1" w:styleId="l5prm4">
    <w:name w:val="l5prm4"/>
    <w:basedOn w:val="DefaultParagraphFont"/>
    <w:rsid w:val="007F1E4C"/>
    <w:rPr>
      <w:i/>
      <w:iCs/>
      <w:color w:val="000000"/>
      <w:sz w:val="26"/>
      <w:szCs w:val="26"/>
    </w:rPr>
  </w:style>
  <w:style w:type="character" w:customStyle="1" w:styleId="l5def1">
    <w:name w:val="l5def1"/>
    <w:basedOn w:val="DefaultParagraphFont"/>
    <w:rsid w:val="007F1E4C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basedOn w:val="DefaultParagraphFont"/>
    <w:rsid w:val="00AD46F1"/>
    <w:rPr>
      <w:b/>
      <w:bCs/>
      <w:color w:val="000000"/>
      <w:sz w:val="32"/>
      <w:szCs w:val="32"/>
    </w:rPr>
  </w:style>
  <w:style w:type="character" w:customStyle="1" w:styleId="l5def2">
    <w:name w:val="l5def2"/>
    <w:basedOn w:val="DefaultParagraphFont"/>
    <w:rsid w:val="00635E71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635E71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635E71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635E71"/>
    <w:rPr>
      <w:rFonts w:ascii="Arial" w:hAnsi="Arial" w:cs="Arial" w:hint="default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71"/>
    <w:rPr>
      <w:rFonts w:ascii="Segoe UI" w:hAnsi="Segoe UI" w:cs="Segoe UI"/>
      <w:sz w:val="18"/>
      <w:szCs w:val="18"/>
    </w:rPr>
  </w:style>
  <w:style w:type="character" w:customStyle="1" w:styleId="l5prm5">
    <w:name w:val="l5prm5"/>
    <w:basedOn w:val="DefaultParagraphFont"/>
    <w:rsid w:val="007B5691"/>
    <w:rPr>
      <w:i/>
      <w:iCs/>
      <w:color w:val="000000"/>
      <w:sz w:val="26"/>
      <w:szCs w:val="26"/>
    </w:rPr>
  </w:style>
  <w:style w:type="character" w:customStyle="1" w:styleId="l5prm6">
    <w:name w:val="l5prm6"/>
    <w:basedOn w:val="DefaultParagraphFont"/>
    <w:rsid w:val="007B5691"/>
    <w:rPr>
      <w:i/>
      <w:iCs/>
      <w:color w:val="000000"/>
      <w:sz w:val="26"/>
      <w:szCs w:val="26"/>
    </w:rPr>
  </w:style>
  <w:style w:type="character" w:customStyle="1" w:styleId="l5prm7">
    <w:name w:val="l5prm7"/>
    <w:basedOn w:val="DefaultParagraphFont"/>
    <w:rsid w:val="007B5691"/>
    <w:rPr>
      <w:i/>
      <w:iCs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50E37"/>
    <w:rPr>
      <w:rFonts w:ascii="Times New Roman" w:eastAsia="Times New Roman" w:hAnsi="Times New Roman" w:cs="Times New Roman"/>
      <w:b/>
      <w:bCs/>
      <w:sz w:val="24"/>
      <w:szCs w:val="24"/>
      <w:lang w:val="fr-FR" w:eastAsia="ro-RO"/>
    </w:rPr>
  </w:style>
  <w:style w:type="character" w:customStyle="1" w:styleId="Heading2Char">
    <w:name w:val="Heading 2 Char"/>
    <w:basedOn w:val="DefaultParagraphFont"/>
    <w:link w:val="Heading2"/>
    <w:rsid w:val="00850E37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850E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character" w:customStyle="1" w:styleId="TitleChar">
    <w:name w:val="Title Char"/>
    <w:basedOn w:val="DefaultParagraphFont"/>
    <w:link w:val="Title"/>
    <w:rsid w:val="00850E37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character" w:customStyle="1" w:styleId="articol1">
    <w:name w:val="articol1"/>
    <w:rsid w:val="00850E37"/>
    <w:rPr>
      <w:b/>
      <w:bCs/>
      <w:color w:val="009500"/>
    </w:rPr>
  </w:style>
  <w:style w:type="paragraph" w:customStyle="1" w:styleId="Default">
    <w:name w:val="Default"/>
    <w:rsid w:val="00D50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A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140435%2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act:140435%206311418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ct:140435%2063114187" TargetMode="External"/><Relationship Id="rId11" Type="http://schemas.openxmlformats.org/officeDocument/2006/relationships/hyperlink" Target="act:140435%2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ct:332850%200" TargetMode="External"/><Relationship Id="rId4" Type="http://schemas.openxmlformats.org/officeDocument/2006/relationships/settings" Target="settings.xml"/><Relationship Id="rId9" Type="http://schemas.openxmlformats.org/officeDocument/2006/relationships/hyperlink" Target="act:337749%2086341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77437-12AA-40FD-88B2-28824692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1735</Words>
  <Characters>9891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Voicu</dc:creator>
  <cp:lastModifiedBy>ileana</cp:lastModifiedBy>
  <cp:revision>4</cp:revision>
  <cp:lastPrinted>2017-10-23T09:03:00Z</cp:lastPrinted>
  <dcterms:created xsi:type="dcterms:W3CDTF">2019-08-28T10:26:00Z</dcterms:created>
  <dcterms:modified xsi:type="dcterms:W3CDTF">2019-08-28T10:27:00Z</dcterms:modified>
</cp:coreProperties>
</file>