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FD" w:rsidRPr="00CB59A6" w:rsidRDefault="007474FD" w:rsidP="007474FD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NOTĂ DE FUNDAMENTARE</w:t>
      </w:r>
    </w:p>
    <w:p w:rsidR="007474FD" w:rsidRPr="00CB59A6" w:rsidRDefault="007474FD" w:rsidP="007474FD">
      <w:pPr>
        <w:rPr>
          <w:rFonts w:ascii="Trebuchet MS" w:hAnsi="Trebuchet MS"/>
          <w:b/>
          <w:sz w:val="22"/>
          <w:szCs w:val="22"/>
          <w:lang w:val="ro-RO"/>
        </w:rPr>
      </w:pPr>
    </w:p>
    <w:p w:rsidR="007474FD" w:rsidRPr="00CB59A6" w:rsidRDefault="007474FD" w:rsidP="007474FD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Secțiunea 1</w:t>
      </w:r>
    </w:p>
    <w:p w:rsidR="007474FD" w:rsidRPr="00CB59A6" w:rsidRDefault="007474FD" w:rsidP="007474FD">
      <w:pPr>
        <w:pStyle w:val="BodyText"/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Titlul proiectului de act normativ</w:t>
      </w:r>
    </w:p>
    <w:p w:rsidR="007474FD" w:rsidRPr="00CB59A6" w:rsidRDefault="007474FD" w:rsidP="007474FD">
      <w:pPr>
        <w:spacing w:before="240"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Secțiunea a 2-a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474FD" w:rsidRPr="00CB59A6" w:rsidTr="00855D4F">
        <w:trPr>
          <w:trHeight w:val="449"/>
        </w:trPr>
        <w:tc>
          <w:tcPr>
            <w:tcW w:w="9747" w:type="dxa"/>
          </w:tcPr>
          <w:p w:rsidR="007474FD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CB59A6">
              <w:rPr>
                <w:rFonts w:ascii="Trebuchet MS" w:hAnsi="Trebuchet MS"/>
                <w:b/>
                <w:sz w:val="22"/>
                <w:szCs w:val="22"/>
                <w:lang w:val="ro-RO"/>
              </w:rPr>
              <w:t>Hotărâre de Guvern</w:t>
            </w: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</w:t>
            </w:r>
            <w:r w:rsidRPr="0030082E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pentru </w:t>
            </w:r>
            <w:r w:rsidRPr="006F4654">
              <w:rPr>
                <w:rFonts w:ascii="Trebuchet MS" w:hAnsi="Trebuchet MS"/>
                <w:b/>
                <w:sz w:val="22"/>
                <w:szCs w:val="22"/>
              </w:rPr>
              <w:t xml:space="preserve">completarea anexei la Legea nr.162/2013 </w:t>
            </w:r>
            <w:r w:rsidRPr="006F4654">
              <w:rPr>
                <w:rFonts w:ascii="Trebuchet MS" w:hAnsi="Trebuchet MS"/>
                <w:b/>
                <w:bCs/>
                <w:sz w:val="22"/>
                <w:szCs w:val="22"/>
              </w:rPr>
              <w:t>privind formalităţile de raportare aplicabile navelor la sosirea în şi/sau la plecarea din porturile româneşti</w:t>
            </w:r>
          </w:p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:rsidR="007474FD" w:rsidRPr="00CB59A6" w:rsidRDefault="007474FD" w:rsidP="0029060D">
      <w:pPr>
        <w:tabs>
          <w:tab w:val="left" w:pos="9810"/>
        </w:tabs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Motivul emiterii actului normativ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6489"/>
      </w:tblGrid>
      <w:tr w:rsidR="007474FD" w:rsidRPr="001A47FB" w:rsidTr="00855D4F">
        <w:tc>
          <w:tcPr>
            <w:tcW w:w="3258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before="100" w:beforeAutospacing="1"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1. Descrierea situaţiei actuale</w:t>
            </w:r>
          </w:p>
        </w:tc>
        <w:tc>
          <w:tcPr>
            <w:tcW w:w="6489" w:type="dxa"/>
          </w:tcPr>
          <w:p w:rsidR="004D407A" w:rsidRDefault="002F25E4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O problematică importantă în transportul maritim internaţional o constituie facilitarea traficului maritim prin simplificarea şi prin reducerea la minimum a procedurilor, formalităţilor şi </w:t>
            </w:r>
            <w:r w:rsidR="004D407A">
              <w:rPr>
                <w:rFonts w:ascii="Trebuchet MS" w:hAnsi="Trebuchet MS"/>
                <w:sz w:val="22"/>
                <w:szCs w:val="22"/>
              </w:rPr>
              <w:t xml:space="preserve">a 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documentelor cerute la </w:t>
            </w:r>
            <w:r w:rsidR="004D407A" w:rsidRPr="004D407A">
              <w:rPr>
                <w:rFonts w:ascii="Trebuchet MS" w:hAnsi="Trebuchet MS"/>
                <w:sz w:val="22"/>
                <w:szCs w:val="22"/>
                <w:lang w:val="ro-RO"/>
              </w:rPr>
              <w:t xml:space="preserve">de către autorităţile publice ce-şi desfăşoară activitatea în porturi la </w:t>
            </w:r>
            <w:r w:rsidR="004D407A">
              <w:rPr>
                <w:rFonts w:ascii="Trebuchet MS" w:hAnsi="Trebuchet MS"/>
                <w:sz w:val="22"/>
                <w:szCs w:val="22"/>
                <w:lang w:val="ro-RO"/>
              </w:rPr>
              <w:t>sosirea</w:t>
            </w:r>
            <w:r w:rsidR="004D407A" w:rsidRPr="004D407A">
              <w:rPr>
                <w:rFonts w:ascii="Trebuchet MS" w:hAnsi="Trebuchet MS"/>
                <w:sz w:val="22"/>
                <w:szCs w:val="22"/>
                <w:lang w:val="ro-RO"/>
              </w:rPr>
              <w:t>, staţionarea şi plecarea navelor maritime comerciale angajate în voiaj</w:t>
            </w:r>
            <w:r w:rsidR="004D407A">
              <w:rPr>
                <w:rFonts w:ascii="Trebuchet MS" w:hAnsi="Trebuchet MS"/>
                <w:sz w:val="22"/>
                <w:szCs w:val="22"/>
                <w:lang w:val="ro-RO"/>
              </w:rPr>
              <w:t>uri</w:t>
            </w:r>
            <w:r w:rsidR="004D407A" w:rsidRPr="004D407A">
              <w:rPr>
                <w:rFonts w:ascii="Trebuchet MS" w:hAnsi="Trebuchet MS"/>
                <w:sz w:val="22"/>
                <w:szCs w:val="22"/>
                <w:lang w:val="ro-RO"/>
              </w:rPr>
              <w:t xml:space="preserve"> internaţionale.</w:t>
            </w:r>
          </w:p>
          <w:p w:rsidR="007474FD" w:rsidRPr="001A47FB" w:rsidRDefault="00A90282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În 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>acest sens</w:t>
            </w:r>
            <w:r>
              <w:rPr>
                <w:rFonts w:ascii="Trebuchet MS" w:hAnsi="Trebuchet MS"/>
                <w:sz w:val="22"/>
                <w:szCs w:val="22"/>
              </w:rPr>
              <w:t>,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407A">
              <w:rPr>
                <w:rFonts w:ascii="Trebuchet MS" w:hAnsi="Trebuchet MS"/>
                <w:sz w:val="22"/>
                <w:szCs w:val="22"/>
              </w:rPr>
              <w:t xml:space="preserve">Organizația Maritimă Internațională </w:t>
            </w:r>
            <w:r w:rsidR="007E0FAC">
              <w:rPr>
                <w:rFonts w:ascii="Trebuchet MS" w:hAnsi="Trebuchet MS"/>
                <w:sz w:val="22"/>
                <w:szCs w:val="22"/>
              </w:rPr>
              <w:t>(OMI)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a </w:t>
            </w:r>
            <w:r>
              <w:rPr>
                <w:rFonts w:ascii="Trebuchet MS" w:hAnsi="Trebuchet MS"/>
                <w:sz w:val="22"/>
                <w:szCs w:val="22"/>
              </w:rPr>
              <w:t xml:space="preserve">adoptat 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Convenţia internaţională privind facilitarea traficului maritim </w:t>
            </w:r>
            <w:r>
              <w:rPr>
                <w:rFonts w:ascii="Trebuchet MS" w:hAnsi="Trebuchet MS"/>
                <w:sz w:val="22"/>
                <w:szCs w:val="22"/>
              </w:rPr>
              <w:t>international (FAL)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>, la Londra la 9 aprilie 1965</w:t>
            </w:r>
            <w:r>
              <w:rPr>
                <w:rFonts w:ascii="Trebuchet MS" w:hAnsi="Trebuchet MS"/>
                <w:sz w:val="22"/>
                <w:szCs w:val="22"/>
              </w:rPr>
              <w:t>,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4D407A">
              <w:rPr>
                <w:rFonts w:ascii="Trebuchet MS" w:hAnsi="Trebuchet MS"/>
                <w:sz w:val="22"/>
                <w:szCs w:val="22"/>
              </w:rPr>
              <w:t>la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 Conferinţa </w:t>
            </w:r>
            <w:r w:rsidR="00AC2996">
              <w:rPr>
                <w:rFonts w:ascii="Trebuchet MS" w:hAnsi="Trebuchet MS"/>
                <w:sz w:val="22"/>
                <w:szCs w:val="22"/>
              </w:rPr>
              <w:t>intern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aţională privind facilitarea voiajului şi transportului </w:t>
            </w:r>
            <w:r w:rsidR="004D407A">
              <w:rPr>
                <w:rFonts w:ascii="Trebuchet MS" w:hAnsi="Trebuchet MS"/>
                <w:sz w:val="22"/>
                <w:szCs w:val="22"/>
              </w:rPr>
              <w:t xml:space="preserve">maritime. 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România a aderat </w:t>
            </w:r>
            <w:r w:rsidR="004D407A">
              <w:rPr>
                <w:rFonts w:ascii="Trebuchet MS" w:hAnsi="Trebuchet MS"/>
                <w:sz w:val="22"/>
                <w:szCs w:val="22"/>
              </w:rPr>
              <w:t xml:space="preserve">la Convenția FAL 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prin Ordonanţa </w:t>
            </w:r>
            <w:r w:rsidR="00AC2996">
              <w:rPr>
                <w:rFonts w:ascii="Trebuchet MS" w:hAnsi="Trebuchet MS"/>
                <w:sz w:val="22"/>
                <w:szCs w:val="22"/>
              </w:rPr>
              <w:t xml:space="preserve">Guvernului 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>nr. 58/1999, aprobată prin Legea nr. 80/2000</w:t>
            </w:r>
            <w:r w:rsidR="00734715">
              <w:rPr>
                <w:rFonts w:ascii="Trebuchet MS" w:hAnsi="Trebuchet MS"/>
                <w:sz w:val="22"/>
                <w:szCs w:val="22"/>
              </w:rPr>
              <w:t>.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734715" w:rsidRDefault="004D407A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     </w:t>
            </w:r>
            <w:r w:rsidRPr="004D407A">
              <w:rPr>
                <w:rFonts w:ascii="Trebuchet MS" w:hAnsi="Trebuchet MS"/>
                <w:sz w:val="22"/>
                <w:szCs w:val="22"/>
                <w:lang w:val="ro-RO"/>
              </w:rPr>
              <w:t xml:space="preserve">Scopul Convenţiei FAL este de a facilita transportul maritim, prin simplificarea şi diminuarea procedurilor, formalităţilor şi a documentelor cerute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navelor </w:t>
            </w:r>
            <w:r w:rsidRPr="004D407A">
              <w:rPr>
                <w:rFonts w:ascii="Trebuchet MS" w:hAnsi="Trebuchet MS"/>
                <w:sz w:val="22"/>
                <w:szCs w:val="22"/>
              </w:rPr>
              <w:t xml:space="preserve">și </w:t>
            </w:r>
            <w:r w:rsidR="007474FD" w:rsidRPr="004D407A">
              <w:rPr>
                <w:rFonts w:ascii="Trebuchet MS" w:hAnsi="Trebuchet MS"/>
                <w:sz w:val="22"/>
                <w:szCs w:val="22"/>
              </w:rPr>
              <w:t>stabile</w:t>
            </w:r>
            <w:r w:rsidR="00AC2996" w:rsidRPr="004D407A">
              <w:rPr>
                <w:rFonts w:ascii="Trebuchet MS" w:hAnsi="Trebuchet MS"/>
                <w:sz w:val="22"/>
                <w:szCs w:val="22"/>
              </w:rPr>
              <w:t>ște</w:t>
            </w:r>
            <w:r w:rsidR="007474FD" w:rsidRPr="004D407A">
              <w:rPr>
                <w:rFonts w:ascii="Trebuchet MS" w:hAnsi="Trebuchet MS"/>
                <w:sz w:val="22"/>
                <w:szCs w:val="22"/>
              </w:rPr>
              <w:t xml:space="preserve"> un set de formulare standardizate destinate anumitor </w:t>
            </w:r>
            <w:r w:rsidR="00AC2996" w:rsidRPr="004D407A">
              <w:rPr>
                <w:rFonts w:ascii="Trebuchet MS" w:hAnsi="Trebuchet MS"/>
                <w:sz w:val="22"/>
                <w:szCs w:val="22"/>
              </w:rPr>
              <w:t xml:space="preserve">proceduri și </w:t>
            </w:r>
            <w:r w:rsidR="007474FD" w:rsidRPr="004D407A">
              <w:rPr>
                <w:rFonts w:ascii="Trebuchet MS" w:hAnsi="Trebuchet MS"/>
                <w:sz w:val="22"/>
                <w:szCs w:val="22"/>
              </w:rPr>
              <w:t>formalităţi pe care trebuie să le depună navele la sosirea sau la plecarea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 în/dintr-un port</w:t>
            </w:r>
            <w:r w:rsidR="00734715">
              <w:rPr>
                <w:rFonts w:ascii="Trebuchet MS" w:hAnsi="Trebuchet MS"/>
                <w:sz w:val="22"/>
                <w:szCs w:val="22"/>
              </w:rPr>
              <w:t xml:space="preserve"> al unui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 stat semnatar al</w:t>
            </w:r>
            <w:r w:rsidR="00734715">
              <w:rPr>
                <w:rFonts w:ascii="Trebuchet MS" w:hAnsi="Trebuchet MS"/>
                <w:sz w:val="22"/>
                <w:szCs w:val="22"/>
              </w:rPr>
              <w:t xml:space="preserve"> c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>onvenţiei</w:t>
            </w:r>
            <w:r w:rsidR="00734715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734715" w:rsidRDefault="00734715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Î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n acelaşi context, la nivelul Uniunii Europene a fost adoptată Directiva 2002/6/CE privind formalităţile de raportare pentru navele care sosesc în porturile statelor membre ale Comunităţii şi/sau pleacă din porturile statelor membre ale Comunităţii, </w:t>
            </w:r>
            <w:r>
              <w:rPr>
                <w:rFonts w:ascii="Trebuchet MS" w:hAnsi="Trebuchet MS"/>
                <w:sz w:val="22"/>
                <w:szCs w:val="22"/>
              </w:rPr>
              <w:t xml:space="preserve">ulterior abrogată prin 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Directiva 2010/65/UE a Parlamentului European şi a Consiliului din 20 octombrie 2010 privind formalităţile de raportare aplicabile navelor la sosirea în şi/sau la plecarea din porturile statelor </w:t>
            </w:r>
            <w:r>
              <w:rPr>
                <w:rFonts w:ascii="Trebuchet MS" w:hAnsi="Trebuchet MS"/>
                <w:sz w:val="22"/>
                <w:szCs w:val="22"/>
              </w:rPr>
              <w:t>memb</w:t>
            </w:r>
            <w:r w:rsidR="007E0FAC">
              <w:rPr>
                <w:rFonts w:ascii="Trebuchet MS" w:hAnsi="Trebuchet MS"/>
                <w:sz w:val="22"/>
                <w:szCs w:val="22"/>
              </w:rPr>
              <w:t>re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7E0FAC" w:rsidRPr="007E0FAC" w:rsidRDefault="007E0FAC" w:rsidP="0029060D">
            <w:pPr>
              <w:tabs>
                <w:tab w:val="left" w:pos="9810"/>
              </w:tabs>
              <w:spacing w:line="276" w:lineRule="auto"/>
              <w:jc w:val="both"/>
            </w:pPr>
            <w:r>
              <w:t xml:space="preserve">     </w:t>
            </w:r>
            <w:r w:rsidRPr="007E0FAC">
              <w:rPr>
                <w:rFonts w:ascii="Trebuchet MS" w:hAnsi="Trebuchet MS"/>
                <w:sz w:val="22"/>
                <w:szCs w:val="22"/>
              </w:rPr>
              <w:t>Directiva 20</w:t>
            </w:r>
            <w:r w:rsidR="00670149">
              <w:rPr>
                <w:rFonts w:ascii="Trebuchet MS" w:hAnsi="Trebuchet MS"/>
                <w:sz w:val="22"/>
                <w:szCs w:val="22"/>
              </w:rPr>
              <w:t>10</w:t>
            </w:r>
            <w:r w:rsidRPr="007E0FAC">
              <w:rPr>
                <w:rFonts w:ascii="Trebuchet MS" w:hAnsi="Trebuchet MS"/>
                <w:sz w:val="22"/>
                <w:szCs w:val="22"/>
              </w:rPr>
              <w:t>/6</w:t>
            </w:r>
            <w:r w:rsidR="00670149">
              <w:rPr>
                <w:rFonts w:ascii="Trebuchet MS" w:hAnsi="Trebuchet MS"/>
                <w:sz w:val="22"/>
                <w:szCs w:val="22"/>
              </w:rPr>
              <w:t>5</w:t>
            </w:r>
            <w:r w:rsidRPr="007E0FAC">
              <w:rPr>
                <w:rFonts w:ascii="Trebuchet MS" w:hAnsi="Trebuchet MS"/>
                <w:sz w:val="22"/>
                <w:szCs w:val="22"/>
              </w:rPr>
              <w:t>/</w:t>
            </w:r>
            <w:r w:rsidR="00670149">
              <w:rPr>
                <w:rFonts w:ascii="Trebuchet MS" w:hAnsi="Trebuchet MS"/>
                <w:sz w:val="22"/>
                <w:szCs w:val="22"/>
              </w:rPr>
              <w:t>U</w:t>
            </w:r>
            <w:r w:rsidRPr="007E0FAC">
              <w:rPr>
                <w:rFonts w:ascii="Trebuchet MS" w:hAnsi="Trebuchet MS"/>
                <w:sz w:val="22"/>
                <w:szCs w:val="22"/>
              </w:rPr>
              <w:t>E impune statelor membre să accepte anumite formulare standardizate („formularele FAL”) pentru a facilita traficul, astfel cum au fost stabilite de către OMI prin Convenția FAL, astfel cum a fost modificată</w:t>
            </w:r>
            <w:r>
              <w:t>.</w:t>
            </w:r>
          </w:p>
          <w:p w:rsidR="007474FD" w:rsidRPr="004D407A" w:rsidRDefault="00734715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Directiva 2010/65/UE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 a fost transpusă în legislaţia naţională prin Legea nr. 162/2013 privind formalităţile de raportare aplicabile navelor la sosirea în şi/sau la plecarea din porturile româneşti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7474FD" w:rsidRDefault="007E0FAC" w:rsidP="0029060D">
            <w:pPr>
              <w:pStyle w:val="Bodytext20"/>
              <w:shd w:val="clear" w:color="auto" w:fill="auto"/>
              <w:tabs>
                <w:tab w:val="left" w:pos="9810"/>
              </w:tabs>
              <w:spacing w:before="0" w:line="276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</w:t>
            </w:r>
            <w:r w:rsidR="00670149">
              <w:rPr>
                <w:rFonts w:ascii="Trebuchet MS" w:hAnsi="Trebuchet MS"/>
              </w:rPr>
              <w:t>Totodată, ț</w:t>
            </w:r>
            <w:r w:rsidR="007474FD" w:rsidRPr="001A47FB">
              <w:rPr>
                <w:rFonts w:ascii="Trebuchet MS" w:hAnsi="Trebuchet MS"/>
              </w:rPr>
              <w:t>inând cont de importanţa transportului maritim de pasageri, a fost instituit un nivel de securitate minim comun pentru navele de</w:t>
            </w:r>
            <w:r w:rsidR="007474FD" w:rsidRPr="001A47FB">
              <w:rPr>
                <w:rStyle w:val="Bodytext2"/>
                <w:rFonts w:ascii="Trebuchet MS" w:hAnsi="Trebuchet MS"/>
              </w:rPr>
              <w:t xml:space="preserve"> </w:t>
            </w:r>
            <w:r w:rsidR="007474FD" w:rsidRPr="001A47FB">
              <w:rPr>
                <w:rFonts w:ascii="Trebuchet MS" w:hAnsi="Trebuchet MS"/>
              </w:rPr>
              <w:t>pasageri care navig</w:t>
            </w:r>
            <w:r>
              <w:rPr>
                <w:rFonts w:ascii="Trebuchet MS" w:hAnsi="Trebuchet MS"/>
              </w:rPr>
              <w:t>hează</w:t>
            </w:r>
            <w:r w:rsidR="007474FD" w:rsidRPr="001A47FB">
              <w:rPr>
                <w:rFonts w:ascii="Trebuchet MS" w:hAnsi="Trebuchet MS"/>
              </w:rPr>
              <w:t xml:space="preserve"> în Uniunea Europeană şi crea</w:t>
            </w:r>
            <w:r w:rsidR="00670149">
              <w:rPr>
                <w:rFonts w:ascii="Trebuchet MS" w:hAnsi="Trebuchet MS"/>
              </w:rPr>
              <w:t>t</w:t>
            </w:r>
            <w:r w:rsidR="007474FD" w:rsidRPr="001A47FB">
              <w:rPr>
                <w:rFonts w:ascii="Trebuchet MS" w:hAnsi="Trebuchet MS"/>
              </w:rPr>
              <w:t xml:space="preserve"> un sistem adecvat de informare, prin </w:t>
            </w:r>
            <w:r w:rsidR="007474FD" w:rsidRPr="001A47FB">
              <w:rPr>
                <w:rFonts w:ascii="Trebuchet MS" w:hAnsi="Trebuchet MS"/>
              </w:rPr>
              <w:lastRenderedPageBreak/>
              <w:t>adoptarea Directivei nr. 98/41/C</w:t>
            </w:r>
            <w:r>
              <w:rPr>
                <w:rFonts w:ascii="Trebuchet MS" w:hAnsi="Trebuchet MS"/>
              </w:rPr>
              <w:t>E</w:t>
            </w:r>
            <w:r w:rsidR="007474FD" w:rsidRPr="001A47FB">
              <w:rPr>
                <w:rFonts w:ascii="Trebuchet MS" w:hAnsi="Trebuchet MS"/>
              </w:rPr>
              <w:t xml:space="preserve"> din 18 iunie 1998 privind înregistrarea persoanelor aflate la bordul navelor de pasageri care operează spre sau dinspre porturi ale statelor membre ale Comunităţii</w:t>
            </w:r>
            <w:r>
              <w:rPr>
                <w:rFonts w:ascii="Trebuchet MS" w:hAnsi="Trebuchet MS"/>
              </w:rPr>
              <w:t>.</w:t>
            </w:r>
            <w:r w:rsidR="007474FD" w:rsidRPr="001A47FB">
              <w:rPr>
                <w:rFonts w:ascii="Trebuchet MS" w:hAnsi="Trebuchet MS"/>
              </w:rPr>
              <w:t xml:space="preserve"> Directiva nr. 98/41/C</w:t>
            </w:r>
            <w:r>
              <w:rPr>
                <w:rFonts w:ascii="Trebuchet MS" w:hAnsi="Trebuchet MS"/>
              </w:rPr>
              <w:t>E</w:t>
            </w:r>
            <w:r w:rsidR="007474FD" w:rsidRPr="001A47FB">
              <w:rPr>
                <w:rFonts w:ascii="Trebuchet MS" w:hAnsi="Trebuchet MS"/>
              </w:rPr>
              <w:t xml:space="preserve"> a fost transpusă în România prin OMTCT nr. 218/2006 pentru aprobarea Normelor privind înregistrarea persoanelor aflate la bordul navelor de pasageri care operează spre sau dinspre porturile maritime româneşti, piblicat î</w:t>
            </w:r>
            <w:r w:rsidR="00670149">
              <w:rPr>
                <w:rFonts w:ascii="Trebuchet MS" w:hAnsi="Trebuchet MS"/>
              </w:rPr>
              <w:t>n Monitorul Oficial al României,</w:t>
            </w:r>
            <w:r w:rsidR="007474FD" w:rsidRPr="001A47FB">
              <w:rPr>
                <w:rFonts w:ascii="Trebuchet MS" w:hAnsi="Trebuchet MS"/>
              </w:rPr>
              <w:t xml:space="preserve"> Partea I, nr. 172 din 22 februarie 2006.</w:t>
            </w:r>
          </w:p>
          <w:p w:rsidR="007E0FAC" w:rsidRDefault="007E0FAC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Î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>n anul 2017</w:t>
            </w:r>
            <w:r>
              <w:rPr>
                <w:rFonts w:ascii="Trebuchet MS" w:hAnsi="Trebuchet MS"/>
                <w:sz w:val="22"/>
                <w:szCs w:val="22"/>
              </w:rPr>
              <w:t>,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 ca urmare a înregistrării progreselor tehnologice semnificative din ultimii 17 ani în materie de comunicare şi de stocare a datelor privind circulaţia navelor şi</w:t>
            </w:r>
            <w:r>
              <w:rPr>
                <w:rFonts w:ascii="Trebuchet MS" w:hAnsi="Trebuchet MS"/>
                <w:sz w:val="22"/>
                <w:szCs w:val="22"/>
              </w:rPr>
              <w:t>,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 de asemenea</w:t>
            </w:r>
            <w:r>
              <w:rPr>
                <w:rFonts w:ascii="Trebuchet MS" w:hAnsi="Trebuchet MS"/>
                <w:sz w:val="22"/>
                <w:szCs w:val="22"/>
              </w:rPr>
              <w:t>,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 introducerea mai multor sisteme de raportare obligatorie pentru nave de-a lungul coastelor europene, au dus la necesitatea modificării Directivei nr. 98/4</w:t>
            </w:r>
            <w:r>
              <w:rPr>
                <w:rFonts w:ascii="Trebuchet MS" w:hAnsi="Trebuchet MS"/>
                <w:sz w:val="22"/>
                <w:szCs w:val="22"/>
              </w:rPr>
              <w:t>1/CE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 prin Directiv</w:t>
            </w:r>
            <w:r>
              <w:rPr>
                <w:rFonts w:ascii="Trebuchet MS" w:hAnsi="Trebuchet MS"/>
                <w:sz w:val="22"/>
                <w:szCs w:val="22"/>
              </w:rPr>
              <w:t>a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 2017/2109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670B27" w:rsidRDefault="00670149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670B27"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Colectarea, transmiterea şi schimbul de date referitoare la nave au fost făcute posibile, simplificate şi armonizate de interfaţa naţională unică prevăzută în Directiva 2010/65/UE şi de sistemul de schimb de informaţii maritime al Uniunii Europene, SafeSeaNet </w:t>
            </w:r>
            <w:r w:rsidR="00670B27">
              <w:rPr>
                <w:rFonts w:ascii="Trebuchet MS" w:hAnsi="Trebuchet MS"/>
                <w:sz w:val="22"/>
                <w:szCs w:val="22"/>
              </w:rPr>
              <w:t>prevăzut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 în Directiva 2002/59/CE. </w:t>
            </w:r>
          </w:p>
          <w:p w:rsidR="00347797" w:rsidRPr="00670B27" w:rsidRDefault="00670B27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 w:rsidRPr="00670B27">
              <w:rPr>
                <w:rFonts w:ascii="Trebuchet MS" w:hAnsi="Trebuchet MS"/>
                <w:sz w:val="22"/>
                <w:szCs w:val="22"/>
              </w:rPr>
              <w:t>Astfel că, pentru a ține seama de modificările aduse Directivei 98/41/CE, informațiile cu privire la persoanele aflate la bord</w:t>
            </w:r>
            <w:r>
              <w:rPr>
                <w:rFonts w:ascii="Trebuchet MS" w:hAnsi="Trebuchet MS"/>
                <w:sz w:val="22"/>
                <w:szCs w:val="22"/>
              </w:rPr>
              <w:t>ul navei</w:t>
            </w:r>
            <w:r w:rsidRPr="00670B27">
              <w:rPr>
                <w:rFonts w:ascii="Trebuchet MS" w:hAnsi="Trebuchet MS"/>
                <w:sz w:val="22"/>
                <w:szCs w:val="22"/>
              </w:rPr>
              <w:t xml:space="preserve"> ar trebui să fie incluse în lista formalităților de raportare menționate în partea A di</w:t>
            </w:r>
            <w:r>
              <w:rPr>
                <w:rFonts w:ascii="Trebuchet MS" w:hAnsi="Trebuchet MS"/>
                <w:sz w:val="22"/>
                <w:szCs w:val="22"/>
              </w:rPr>
              <w:t xml:space="preserve">n anexa la Directiva 2010/65/UE și 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să fie raportate în </w:t>
            </w:r>
            <w:r w:rsidR="00033FCB">
              <w:rPr>
                <w:rFonts w:ascii="Trebuchet MS" w:hAnsi="Trebuchet MS"/>
                <w:sz w:val="22"/>
                <w:szCs w:val="22"/>
              </w:rPr>
              <w:t>”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 xml:space="preserve">interfaţa </w:t>
            </w:r>
            <w:r w:rsidR="00033FCB">
              <w:rPr>
                <w:rFonts w:ascii="Trebuchet MS" w:hAnsi="Trebuchet MS"/>
                <w:sz w:val="22"/>
                <w:szCs w:val="22"/>
              </w:rPr>
              <w:t xml:space="preserve">electronică 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>unică</w:t>
            </w:r>
            <w:r w:rsidR="00033FCB">
              <w:rPr>
                <w:rFonts w:ascii="Trebuchet MS" w:hAnsi="Trebuchet MS"/>
                <w:sz w:val="22"/>
                <w:szCs w:val="22"/>
              </w:rPr>
              <w:t>”</w:t>
            </w:r>
            <w:r w:rsidR="00033FCB" w:rsidRPr="001A47FB">
              <w:rPr>
                <w:rFonts w:ascii="Trebuchet MS" w:hAnsi="Trebuchet MS"/>
                <w:sz w:val="22"/>
                <w:szCs w:val="22"/>
              </w:rPr>
              <w:t xml:space="preserve"> naţională</w:t>
            </w:r>
            <w:r w:rsidR="007474FD" w:rsidRPr="001A47FB">
              <w:rPr>
                <w:rFonts w:ascii="Trebuchet MS" w:hAnsi="Trebuchet MS"/>
                <w:sz w:val="22"/>
                <w:szCs w:val="22"/>
              </w:rPr>
              <w:t>, care permite ca datele să fie uşor de accesat de către fiecare autoritatea competentă din Uniunea Europeană în eventualitatea unei situaţii de urgenţă sau a unui accident pe mare.</w:t>
            </w:r>
          </w:p>
        </w:tc>
      </w:tr>
      <w:tr w:rsidR="007474FD" w:rsidRPr="008F5F8F" w:rsidTr="00855D4F">
        <w:tc>
          <w:tcPr>
            <w:tcW w:w="3258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before="100" w:beforeAutospacing="1"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lastRenderedPageBreak/>
              <w:t>11.In cazul proiectelor de acte normative care transpun legislaţie comunitară sau creează cadrul pentru aplicarea directă a acesteia,</w:t>
            </w:r>
          </w:p>
        </w:tc>
        <w:tc>
          <w:tcPr>
            <w:tcW w:w="6489" w:type="dxa"/>
          </w:tcPr>
          <w:p w:rsidR="007474FD" w:rsidRPr="001D4E17" w:rsidRDefault="00670B27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 w:rsidR="009B14DD" w:rsidRPr="009B14DD">
              <w:rPr>
                <w:rFonts w:ascii="Trebuchet MS" w:hAnsi="Trebuchet MS"/>
                <w:sz w:val="22"/>
                <w:szCs w:val="22"/>
                <w:lang w:val="fr-FR"/>
              </w:rPr>
              <w:t>Prezentul act normativ creează cadrul legal pentru transpunerea în legislația națională a</w:t>
            </w:r>
            <w:r w:rsidR="009B14DD" w:rsidRPr="008929CD">
              <w:rPr>
                <w:sz w:val="24"/>
                <w:szCs w:val="24"/>
                <w:lang w:val="fr-FR"/>
              </w:rPr>
              <w:t xml:space="preserve"> </w:t>
            </w:r>
            <w:r w:rsidR="001A47FB" w:rsidRPr="001A47FB">
              <w:rPr>
                <w:rFonts w:ascii="Trebuchet MS" w:hAnsi="Trebuchet MS"/>
                <w:sz w:val="22"/>
                <w:szCs w:val="22"/>
              </w:rPr>
              <w:t xml:space="preserve">art. 2 și art. 3 din Directiva nr. 2017/2109 </w:t>
            </w:r>
            <w:r w:rsidR="0092603A" w:rsidRPr="001A47FB">
              <w:rPr>
                <w:rFonts w:ascii="Trebuchet MS" w:hAnsi="Trebuchet MS"/>
                <w:sz w:val="22"/>
                <w:szCs w:val="22"/>
              </w:rPr>
              <w:t xml:space="preserve">a Parlamentului European și a Consiliului </w:t>
            </w:r>
            <w:r w:rsidR="001A47FB" w:rsidRPr="001A47FB">
              <w:rPr>
                <w:rFonts w:ascii="Trebuchet MS" w:hAnsi="Trebuchet MS"/>
                <w:sz w:val="22"/>
                <w:szCs w:val="22"/>
              </w:rPr>
              <w:t>din 15 noiembrie 2017 de modificare a Directivei 98/41/CE a Consiliului privind înregistrarea persoanelor care călătoresc la bordul navelor de pasageri care operează în porturile de destinație sau de plecare din statele membre ale Comunității și a Directivei 2010/65/UE a Parlamentului European și a Consiliului privind formalitățile de raportare aplicabile navelor la sosirea în și/sau la plecarea din porturile statelor membre, publicată în Jurnalul Oficial al Uniunii Europene, seria L, nr. 315 din 30 noiembrie 2017.</w:t>
            </w:r>
          </w:p>
        </w:tc>
      </w:tr>
      <w:tr w:rsidR="007474FD" w:rsidRPr="008F5F8F" w:rsidTr="0029060D">
        <w:trPr>
          <w:trHeight w:val="624"/>
        </w:trPr>
        <w:tc>
          <w:tcPr>
            <w:tcW w:w="3258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before="100" w:beforeAutospacing="1"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 xml:space="preserve">2. Schimbări preconizate </w:t>
            </w:r>
          </w:p>
        </w:tc>
        <w:tc>
          <w:tcPr>
            <w:tcW w:w="6489" w:type="dxa"/>
          </w:tcPr>
          <w:p w:rsidR="0092603A" w:rsidRPr="0092603A" w:rsidRDefault="0092603A" w:rsidP="0029060D">
            <w:pPr>
              <w:pStyle w:val="NormalWeb"/>
              <w:tabs>
                <w:tab w:val="left" w:pos="9810"/>
              </w:tabs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 w:rsidRPr="0092603A">
              <w:rPr>
                <w:rFonts w:ascii="Trebuchet MS" w:hAnsi="Trebuchet MS"/>
                <w:sz w:val="22"/>
                <w:szCs w:val="22"/>
              </w:rPr>
              <w:t xml:space="preserve">România și celelalte </w:t>
            </w:r>
            <w:r w:rsidR="007474FD" w:rsidRPr="0092603A">
              <w:rPr>
                <w:rFonts w:ascii="Trebuchet MS" w:hAnsi="Trebuchet MS"/>
                <w:sz w:val="22"/>
                <w:szCs w:val="22"/>
              </w:rPr>
              <w:t>state membre ale Uniunii Europene vor utiliza formalităţile de raportare armonizate stabilite prin Directiva 2010/65/UE</w:t>
            </w:r>
            <w:r w:rsidRPr="0092603A">
              <w:rPr>
                <w:rFonts w:ascii="Trebuchet MS" w:hAnsi="Trebuchet MS"/>
                <w:sz w:val="22"/>
                <w:szCs w:val="22"/>
              </w:rPr>
              <w:t xml:space="preserve"> în vederea facilitării furnizării şi a schimbului de informaţii care trebuie raportate şi pentru a reduce sarcinile administrative.</w:t>
            </w:r>
          </w:p>
          <w:p w:rsidR="0029060D" w:rsidRPr="001D4E17" w:rsidRDefault="00347797" w:rsidP="0029060D">
            <w:pPr>
              <w:pStyle w:val="NormalWeb"/>
              <w:tabs>
                <w:tab w:val="left" w:pos="9810"/>
              </w:tabs>
              <w:spacing w:before="0" w:beforeAutospacing="0" w:after="0" w:afterAutospacing="0"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</w:t>
            </w:r>
            <w:r w:rsidR="0092603A">
              <w:rPr>
                <w:rFonts w:ascii="Trebuchet MS" w:hAnsi="Trebuchet MS"/>
                <w:sz w:val="22"/>
                <w:szCs w:val="22"/>
              </w:rPr>
              <w:t>Î</w:t>
            </w:r>
            <w:r w:rsidR="007474FD" w:rsidRPr="0092603A">
              <w:rPr>
                <w:rFonts w:ascii="Trebuchet MS" w:hAnsi="Trebuchet MS"/>
                <w:sz w:val="22"/>
                <w:szCs w:val="22"/>
              </w:rPr>
              <w:t xml:space="preserve">n cazul unui accident care afectează mai multe state membre ale Uniunii Europene, statele membre vor pune aceste </w:t>
            </w:r>
            <w:r w:rsidR="007474FD" w:rsidRPr="0092603A">
              <w:rPr>
                <w:rFonts w:ascii="Trebuchet MS" w:hAnsi="Trebuchet MS"/>
                <w:sz w:val="22"/>
                <w:szCs w:val="22"/>
              </w:rPr>
              <w:lastRenderedPageBreak/>
              <w:t>informaţii la dispoziţia celorlalte state membre prin intermediul sistemului SafeSeaNet.</w:t>
            </w:r>
          </w:p>
        </w:tc>
      </w:tr>
      <w:tr w:rsidR="007474FD" w:rsidRPr="008F5F8F" w:rsidTr="00855D4F">
        <w:tc>
          <w:tcPr>
            <w:tcW w:w="3258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before="100" w:beforeAutospacing="1"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3. Alte informaţii</w:t>
            </w:r>
          </w:p>
        </w:tc>
        <w:tc>
          <w:tcPr>
            <w:tcW w:w="6489" w:type="dxa"/>
          </w:tcPr>
          <w:p w:rsidR="007474FD" w:rsidRPr="009B14DD" w:rsidRDefault="009B14DD" w:rsidP="0029060D">
            <w:pPr>
              <w:tabs>
                <w:tab w:val="left" w:pos="9810"/>
              </w:tabs>
              <w:spacing w:line="276" w:lineRule="auto"/>
              <w:ind w:left="2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     </w:t>
            </w:r>
            <w:r w:rsidRPr="009B14DD">
              <w:rPr>
                <w:rFonts w:ascii="Trebuchet MS" w:hAnsi="Trebuchet MS"/>
                <w:sz w:val="22"/>
                <w:szCs w:val="22"/>
                <w:lang w:val="ro-RO"/>
              </w:rPr>
              <w:t xml:space="preserve">Adoptarea prezentei hotărâri este necesară în vederea îndeplinirii obligaţiei de a transpune în legislaţia naţională prevederile </w:t>
            </w:r>
            <w:r w:rsidRPr="009B14DD">
              <w:rPr>
                <w:rFonts w:ascii="Trebuchet MS" w:hAnsi="Trebuchet MS"/>
                <w:sz w:val="22"/>
                <w:szCs w:val="22"/>
                <w:lang w:val="ro-RO" w:eastAsia="ro-RO"/>
              </w:rPr>
              <w:t xml:space="preserve">Directivei </w:t>
            </w:r>
            <w:r w:rsidRPr="001A47FB">
              <w:rPr>
                <w:rFonts w:ascii="Trebuchet MS" w:hAnsi="Trebuchet MS"/>
                <w:sz w:val="22"/>
                <w:szCs w:val="22"/>
              </w:rPr>
              <w:t>nr. 2017/2109 a Parlamentului European și a Consiliului din 15 noiembrie 2017</w:t>
            </w:r>
            <w:r w:rsidRPr="009B14DD">
              <w:rPr>
                <w:rFonts w:ascii="Trebuchet MS" w:hAnsi="Trebuchet MS"/>
                <w:sz w:val="22"/>
                <w:szCs w:val="22"/>
                <w:lang w:val="ro-RO"/>
              </w:rPr>
              <w:t xml:space="preserve"> în termenul limită stabilit de aceasta.</w:t>
            </w:r>
          </w:p>
        </w:tc>
      </w:tr>
    </w:tbl>
    <w:p w:rsidR="007474FD" w:rsidRPr="008F5F8F" w:rsidRDefault="007474FD" w:rsidP="0029060D">
      <w:pPr>
        <w:tabs>
          <w:tab w:val="left" w:pos="9810"/>
        </w:tabs>
        <w:spacing w:before="240"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8F5F8F">
        <w:rPr>
          <w:rFonts w:ascii="Trebuchet MS" w:hAnsi="Trebuchet MS"/>
          <w:b/>
          <w:sz w:val="22"/>
          <w:szCs w:val="22"/>
          <w:lang w:val="ro-RO"/>
        </w:rPr>
        <w:t>Secțiunea a 3-a</w:t>
      </w:r>
    </w:p>
    <w:p w:rsidR="007474FD" w:rsidRPr="008F5F8F" w:rsidRDefault="007474FD" w:rsidP="0029060D">
      <w:pPr>
        <w:tabs>
          <w:tab w:val="left" w:pos="9810"/>
        </w:tabs>
        <w:spacing w:line="276" w:lineRule="auto"/>
        <w:ind w:left="-90"/>
        <w:jc w:val="center"/>
        <w:rPr>
          <w:rFonts w:ascii="Trebuchet MS" w:hAnsi="Trebuchet MS"/>
          <w:sz w:val="22"/>
          <w:szCs w:val="22"/>
          <w:lang w:val="ro-RO"/>
        </w:rPr>
      </w:pPr>
      <w:r w:rsidRPr="008F5F8F">
        <w:rPr>
          <w:rFonts w:ascii="Trebuchet MS" w:hAnsi="Trebuchet MS"/>
          <w:b/>
          <w:sz w:val="22"/>
          <w:szCs w:val="22"/>
          <w:lang w:val="ro-RO"/>
        </w:rPr>
        <w:t>Impactul socio-economic al proiectului de act normativ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6512"/>
      </w:tblGrid>
      <w:tr w:rsidR="007474FD" w:rsidRPr="008F5F8F" w:rsidTr="0029060D">
        <w:tc>
          <w:tcPr>
            <w:tcW w:w="3235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1. Impactul macroeconomic</w:t>
            </w:r>
          </w:p>
        </w:tc>
        <w:tc>
          <w:tcPr>
            <w:tcW w:w="6512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7474FD" w:rsidRPr="008F5F8F" w:rsidTr="0029060D">
        <w:tc>
          <w:tcPr>
            <w:tcW w:w="3235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  <w:r w:rsidRPr="008F5F8F">
              <w:rPr>
                <w:rFonts w:ascii="Trebuchet MS" w:hAnsi="Trebuchet MS"/>
                <w:sz w:val="22"/>
                <w:szCs w:val="22"/>
                <w:vertAlign w:val="superscript"/>
                <w:lang w:val="ro-RO"/>
              </w:rPr>
              <w:t xml:space="preserve">1 </w:t>
            </w: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Impactul asupra mediului concurențial și domeniului ajutoarelor de stat</w:t>
            </w:r>
          </w:p>
        </w:tc>
        <w:tc>
          <w:tcPr>
            <w:tcW w:w="6512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7474FD" w:rsidRPr="008F5F8F" w:rsidTr="0029060D">
        <w:tc>
          <w:tcPr>
            <w:tcW w:w="3235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2. Impactul asupra mediului de afaceri</w:t>
            </w:r>
          </w:p>
        </w:tc>
        <w:tc>
          <w:tcPr>
            <w:tcW w:w="6512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7474FD" w:rsidRPr="008F5F8F" w:rsidTr="0029060D">
        <w:tc>
          <w:tcPr>
            <w:tcW w:w="3235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  <w:r w:rsidRPr="008F5F8F">
              <w:rPr>
                <w:rFonts w:ascii="Trebuchet MS" w:hAnsi="Trebuchet MS"/>
                <w:sz w:val="22"/>
                <w:szCs w:val="22"/>
                <w:vertAlign w:val="superscript"/>
                <w:lang w:val="ro-RO"/>
              </w:rPr>
              <w:t xml:space="preserve">1 </w:t>
            </w: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Impactul asupra sarcinilor administrative</w:t>
            </w:r>
          </w:p>
        </w:tc>
        <w:tc>
          <w:tcPr>
            <w:tcW w:w="6512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7474FD" w:rsidRPr="008F5F8F" w:rsidTr="0029060D">
        <w:tc>
          <w:tcPr>
            <w:tcW w:w="3235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  <w:r w:rsidRPr="008F5F8F">
              <w:rPr>
                <w:rFonts w:ascii="Trebuchet MS" w:hAnsi="Trebuchet MS"/>
                <w:sz w:val="22"/>
                <w:szCs w:val="22"/>
                <w:vertAlign w:val="superscript"/>
                <w:lang w:val="ro-RO"/>
              </w:rPr>
              <w:t xml:space="preserve">2 </w:t>
            </w: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Impactul asupra întreprinderilor mici și mijlocii</w:t>
            </w:r>
          </w:p>
        </w:tc>
        <w:tc>
          <w:tcPr>
            <w:tcW w:w="6512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7474FD" w:rsidRPr="008F5F8F" w:rsidTr="0029060D">
        <w:tc>
          <w:tcPr>
            <w:tcW w:w="3235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3. Impactul social</w:t>
            </w:r>
          </w:p>
        </w:tc>
        <w:tc>
          <w:tcPr>
            <w:tcW w:w="6512" w:type="dxa"/>
          </w:tcPr>
          <w:p w:rsidR="007474FD" w:rsidRPr="008F5F8F" w:rsidRDefault="00347797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7474FD" w:rsidRPr="008F5F8F" w:rsidTr="0029060D">
        <w:tc>
          <w:tcPr>
            <w:tcW w:w="3235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4. Impactul asupra mediului</w:t>
            </w:r>
          </w:p>
        </w:tc>
        <w:tc>
          <w:tcPr>
            <w:tcW w:w="6512" w:type="dxa"/>
          </w:tcPr>
          <w:p w:rsidR="007474FD" w:rsidRPr="008F5F8F" w:rsidRDefault="00347797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7474FD" w:rsidRPr="008F5F8F" w:rsidTr="0029060D">
        <w:tc>
          <w:tcPr>
            <w:tcW w:w="3235" w:type="dxa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5. Alte informaţii</w:t>
            </w:r>
          </w:p>
        </w:tc>
        <w:tc>
          <w:tcPr>
            <w:tcW w:w="6512" w:type="dxa"/>
          </w:tcPr>
          <w:p w:rsidR="007474FD" w:rsidRPr="008F5F8F" w:rsidRDefault="00347797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ro-RO"/>
              </w:rPr>
              <w:t>Nu au fost identificate.</w:t>
            </w:r>
          </w:p>
        </w:tc>
      </w:tr>
    </w:tbl>
    <w:p w:rsidR="007474FD" w:rsidRPr="008F5F8F" w:rsidRDefault="007474FD" w:rsidP="0029060D">
      <w:pPr>
        <w:tabs>
          <w:tab w:val="left" w:pos="9810"/>
        </w:tabs>
        <w:spacing w:before="240"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8F5F8F">
        <w:rPr>
          <w:rFonts w:ascii="Trebuchet MS" w:hAnsi="Trebuchet MS"/>
          <w:b/>
          <w:sz w:val="22"/>
          <w:szCs w:val="22"/>
          <w:lang w:val="ro-RO"/>
        </w:rPr>
        <w:t>Secțiunea a 4-a</w:t>
      </w:r>
    </w:p>
    <w:p w:rsidR="007474FD" w:rsidRPr="008F5F8F" w:rsidRDefault="007474FD" w:rsidP="0029060D">
      <w:pPr>
        <w:tabs>
          <w:tab w:val="left" w:pos="9810"/>
        </w:tabs>
        <w:spacing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8F5F8F">
        <w:rPr>
          <w:rFonts w:ascii="Trebuchet MS" w:hAnsi="Trebuchet MS"/>
          <w:b/>
          <w:sz w:val="22"/>
          <w:szCs w:val="22"/>
          <w:lang w:val="ro-RO"/>
        </w:rPr>
        <w:t xml:space="preserve">Impactul financiar asupra bugetului general consolidat, </w:t>
      </w:r>
    </w:p>
    <w:p w:rsidR="007474FD" w:rsidRPr="008F5F8F" w:rsidRDefault="007474FD" w:rsidP="0029060D">
      <w:pPr>
        <w:tabs>
          <w:tab w:val="left" w:pos="9810"/>
        </w:tabs>
        <w:spacing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8F5F8F">
        <w:rPr>
          <w:rFonts w:ascii="Trebuchet MS" w:hAnsi="Trebuchet MS"/>
          <w:b/>
          <w:sz w:val="22"/>
          <w:szCs w:val="22"/>
          <w:lang w:val="ro-RO"/>
        </w:rPr>
        <w:t>atât pe termen scurt, pentru anul curent, cât şi pe termen lung (pe 5 ani)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900"/>
        <w:gridCol w:w="720"/>
        <w:gridCol w:w="540"/>
        <w:gridCol w:w="540"/>
        <w:gridCol w:w="540"/>
        <w:gridCol w:w="1359"/>
      </w:tblGrid>
      <w:tr w:rsidR="007474FD" w:rsidRPr="008F5F8F" w:rsidTr="00855D4F">
        <w:trPr>
          <w:trHeight w:val="8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right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- mii lei -</w:t>
            </w:r>
          </w:p>
        </w:tc>
      </w:tr>
      <w:tr w:rsidR="007474FD" w:rsidRPr="008F5F8F" w:rsidTr="00855D4F">
        <w:trPr>
          <w:trHeight w:val="8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Indicatori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Anul curent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Următorii 4 ani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Media pe 5 ani</w:t>
            </w:r>
          </w:p>
        </w:tc>
      </w:tr>
      <w:tr w:rsidR="007474FD" w:rsidRPr="008F5F8F" w:rsidTr="00855D4F">
        <w:trPr>
          <w:trHeight w:val="8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7</w:t>
            </w:r>
          </w:p>
        </w:tc>
      </w:tr>
      <w:tr w:rsidR="007474FD" w:rsidRPr="008F5F8F" w:rsidTr="00855D4F">
        <w:trPr>
          <w:trHeight w:val="8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1. Modificări ale veniturilor bugetare, plus/minus, din care: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</w:tr>
      <w:tr w:rsidR="007474FD" w:rsidRPr="008F5F8F" w:rsidTr="00855D4F">
        <w:trPr>
          <w:trHeight w:val="36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a) buget de stat, din acesta: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8F5F8F" w:rsidTr="00855D4F">
        <w:trPr>
          <w:trHeight w:val="33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(i) impozit pe profit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8F5F8F" w:rsidTr="00855D4F">
        <w:trPr>
          <w:trHeight w:val="33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(ii) impozit pe venit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8F5F8F" w:rsidTr="00855D4F">
        <w:trPr>
          <w:trHeight w:val="34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b) bugete locale: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8F5F8F" w:rsidTr="00855D4F">
        <w:trPr>
          <w:trHeight w:val="25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(i) impozit pe profit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8F5F8F" w:rsidTr="00855D4F">
        <w:trPr>
          <w:trHeight w:val="32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c) bugetul asigurărilor sociale de stat: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8F5F8F" w:rsidTr="00855D4F">
        <w:trPr>
          <w:trHeight w:val="226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(i) contribuţii de asigurări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8F5F8F" w:rsidTr="00855D4F">
        <w:trPr>
          <w:trHeight w:val="454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2. Modificări ale cheltuielilor bugetare, plus/minus, din care: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-</w:t>
            </w:r>
          </w:p>
        </w:tc>
      </w:tr>
      <w:tr w:rsidR="007474FD" w:rsidRPr="008F5F8F" w:rsidTr="00855D4F">
        <w:trPr>
          <w:trHeight w:val="3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8F5F8F">
              <w:rPr>
                <w:rFonts w:ascii="Trebuchet MS" w:hAnsi="Trebuchet MS"/>
                <w:sz w:val="22"/>
                <w:szCs w:val="22"/>
                <w:lang w:val="ro-RO"/>
              </w:rPr>
              <w:t>a) bugetul de stat, din acesta: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8F5F8F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CB59A6" w:rsidTr="00855D4F">
        <w:trPr>
          <w:trHeight w:val="16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(i) cheltuieli de personal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CB59A6" w:rsidTr="00855D4F">
        <w:trPr>
          <w:trHeight w:val="34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(ii) bunuri şi servicii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CB59A6" w:rsidTr="00855D4F">
        <w:trPr>
          <w:trHeight w:val="347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b) bugete locale: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CB59A6" w:rsidTr="00855D4F">
        <w:trPr>
          <w:trHeight w:val="34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(i) cheltuieli de personal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CB59A6" w:rsidTr="00855D4F">
        <w:trPr>
          <w:trHeight w:val="34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(ii) bunuri şi servicii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CB59A6" w:rsidTr="00855D4F">
        <w:trPr>
          <w:trHeight w:val="34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c) bugetul asigurărilor sociale de stat: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CB59A6" w:rsidTr="00855D4F">
        <w:trPr>
          <w:trHeight w:val="35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(i) cheltuieli de personal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CB59A6" w:rsidTr="00855D4F">
        <w:trPr>
          <w:trHeight w:val="345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(ii) bunuri şi servicii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CB59A6" w:rsidTr="00855D4F">
        <w:trPr>
          <w:trHeight w:val="36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3. Impact financiar, plus/minus, din care: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-</w:t>
            </w:r>
          </w:p>
        </w:tc>
      </w:tr>
      <w:tr w:rsidR="007474FD" w:rsidRPr="00CB59A6" w:rsidTr="00855D4F">
        <w:trPr>
          <w:trHeight w:val="36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a) bugetul de stat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7474FD" w:rsidRPr="00CB59A6" w:rsidTr="00855D4F">
        <w:trPr>
          <w:trHeight w:val="29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b) bugete locale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  <w:tr w:rsidR="00347797" w:rsidRPr="00CB59A6" w:rsidTr="00855D4F">
        <w:trPr>
          <w:trHeight w:val="491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4. Propuneri pentru acoperirea creşterii cheltuielilor bugetare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-</w:t>
            </w:r>
          </w:p>
        </w:tc>
      </w:tr>
      <w:tr w:rsidR="00347797" w:rsidRPr="00CB59A6" w:rsidTr="00855D4F">
        <w:trPr>
          <w:trHeight w:val="50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5. Propuneri pentru a compensa reducerea veniturilor bugetare.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-</w:t>
            </w:r>
          </w:p>
        </w:tc>
      </w:tr>
      <w:tr w:rsidR="00347797" w:rsidRPr="00CB59A6" w:rsidTr="00855D4F">
        <w:trPr>
          <w:trHeight w:val="55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6. Calcule detaliate privind fundamentarea modificărilor cheltuielilor bugetare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Cs/>
                <w:sz w:val="22"/>
                <w:szCs w:val="22"/>
                <w:lang w:val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ro-RO"/>
              </w:rPr>
              <w:t>-</w:t>
            </w:r>
          </w:p>
        </w:tc>
      </w:tr>
      <w:tr w:rsidR="00347797" w:rsidRPr="00CB59A6" w:rsidTr="00855D4F">
        <w:trPr>
          <w:trHeight w:val="340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CB59A6" w:rsidRDefault="00347797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7. Alte informații</w:t>
            </w:r>
          </w:p>
        </w:tc>
        <w:tc>
          <w:tcPr>
            <w:tcW w:w="4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97" w:rsidRPr="008F5F8F" w:rsidRDefault="00347797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 w:eastAsia="ro-RO"/>
              </w:rPr>
              <w:t>Nu au fost identificate.</w:t>
            </w:r>
          </w:p>
        </w:tc>
      </w:tr>
    </w:tbl>
    <w:p w:rsidR="007474FD" w:rsidRPr="00CB59A6" w:rsidRDefault="007474FD" w:rsidP="0029060D">
      <w:pPr>
        <w:tabs>
          <w:tab w:val="left" w:pos="9810"/>
        </w:tabs>
        <w:spacing w:before="240"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Secțiunea a 5-a</w:t>
      </w:r>
    </w:p>
    <w:p w:rsidR="007474FD" w:rsidRDefault="007474FD" w:rsidP="0029060D">
      <w:pPr>
        <w:tabs>
          <w:tab w:val="left" w:pos="9810"/>
        </w:tabs>
        <w:spacing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Efectele proiectului de act normativ</w:t>
      </w:r>
      <w:r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Pr="00CB59A6">
        <w:rPr>
          <w:rFonts w:ascii="Trebuchet MS" w:hAnsi="Trebuchet MS"/>
          <w:b/>
          <w:sz w:val="22"/>
          <w:szCs w:val="22"/>
          <w:lang w:val="ro-RO"/>
        </w:rPr>
        <w:t>asupra legislației în vigoare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4646"/>
      </w:tblGrid>
      <w:tr w:rsidR="007474FD" w:rsidRPr="00CB59A6" w:rsidTr="0061551C">
        <w:tc>
          <w:tcPr>
            <w:tcW w:w="5101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1.</w:t>
            </w:r>
            <w:r w:rsidR="001D4E17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Măsuri normative necesare pentru aplicarea prevederilor proiectului de act normativ:</w:t>
            </w:r>
          </w:p>
          <w:p w:rsidR="007474FD" w:rsidRDefault="007474FD" w:rsidP="0029060D">
            <w:pPr>
              <w:numPr>
                <w:ilvl w:val="1"/>
                <w:numId w:val="1"/>
              </w:numPr>
              <w:tabs>
                <w:tab w:val="left" w:pos="9810"/>
              </w:tabs>
              <w:spacing w:line="276" w:lineRule="auto"/>
              <w:ind w:left="36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acte normative în vigoare ce vor fi modificate sau abrogate, ca urmare a intrării în vigoare a proiectului de act normativ;</w:t>
            </w:r>
          </w:p>
          <w:p w:rsidR="007474FD" w:rsidRPr="00CB59A6" w:rsidRDefault="007474FD" w:rsidP="0029060D">
            <w:pPr>
              <w:numPr>
                <w:ilvl w:val="1"/>
                <w:numId w:val="1"/>
              </w:numPr>
              <w:tabs>
                <w:tab w:val="left" w:pos="9810"/>
              </w:tabs>
              <w:spacing w:line="276" w:lineRule="auto"/>
              <w:ind w:left="36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acte normative ce urmează a fi elaborate în vederea implementării noilor dispoziţii.</w:t>
            </w:r>
          </w:p>
        </w:tc>
        <w:tc>
          <w:tcPr>
            <w:tcW w:w="4646" w:type="dxa"/>
          </w:tcPr>
          <w:p w:rsidR="007474FD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7474FD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7474FD" w:rsidRPr="00347797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a).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  <w:r w:rsidR="001D4E17">
              <w:rPr>
                <w:rFonts w:ascii="Trebuchet MS" w:hAnsi="Trebuchet MS"/>
                <w:sz w:val="22"/>
                <w:szCs w:val="22"/>
                <w:lang w:val="ro-RO"/>
              </w:rPr>
              <w:t xml:space="preserve">La intrarea în vigoare a prezentei hotărâri </w:t>
            </w:r>
            <w:r w:rsidR="001D4E17" w:rsidRPr="00347797">
              <w:rPr>
                <w:rFonts w:ascii="Trebuchet MS" w:hAnsi="Trebuchet MS"/>
                <w:bCs/>
                <w:sz w:val="22"/>
                <w:szCs w:val="22"/>
              </w:rPr>
              <w:t>se completează</w:t>
            </w:r>
            <w:r w:rsidR="001D4E17" w:rsidRPr="0034779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347797" w:rsidRPr="00347797">
              <w:rPr>
                <w:rFonts w:ascii="Trebuchet MS" w:hAnsi="Trebuchet MS"/>
                <w:sz w:val="22"/>
                <w:szCs w:val="22"/>
              </w:rPr>
              <w:t xml:space="preserve">Anexa la Legea nr. 162/2013 </w:t>
            </w:r>
            <w:r w:rsidR="00347797" w:rsidRPr="00347797">
              <w:rPr>
                <w:rFonts w:ascii="Trebuchet MS" w:hAnsi="Trebuchet MS"/>
                <w:bCs/>
                <w:sz w:val="22"/>
                <w:szCs w:val="22"/>
              </w:rPr>
              <w:t>privind formalităţile de raportare aplicabile navelor la sosirea în şi/sau la plecarea din porturile româneşti, publicată în Monitorul Oficial al României, Partea I,</w:t>
            </w:r>
            <w:r w:rsidR="001D4E17">
              <w:rPr>
                <w:rFonts w:ascii="Trebuchet MS" w:hAnsi="Trebuchet MS"/>
                <w:bCs/>
                <w:sz w:val="22"/>
                <w:szCs w:val="22"/>
              </w:rPr>
              <w:t> nr. I, nr. 280 din 17 mai 2013</w:t>
            </w:r>
            <w:r w:rsidR="00347797"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7474FD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b).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Nu este cazul. </w:t>
            </w:r>
          </w:p>
        </w:tc>
      </w:tr>
      <w:tr w:rsidR="007474FD" w:rsidRPr="00CB59A6" w:rsidTr="0061551C">
        <w:tc>
          <w:tcPr>
            <w:tcW w:w="5101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1</w:t>
            </w:r>
            <w:r w:rsidRPr="00CB59A6">
              <w:rPr>
                <w:rFonts w:ascii="Trebuchet MS" w:hAnsi="Trebuchet MS"/>
                <w:sz w:val="22"/>
                <w:szCs w:val="22"/>
                <w:vertAlign w:val="superscript"/>
                <w:lang w:val="ro-RO"/>
              </w:rPr>
              <w:t>1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. Compatibilitatea proiectului de act normativ cu legisla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ția î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n domeniul achizi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ț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iilor publice</w:t>
            </w:r>
          </w:p>
        </w:tc>
        <w:tc>
          <w:tcPr>
            <w:tcW w:w="4646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Proiectul de act normativ </w:t>
            </w:r>
            <w:r w:rsidR="0029060D">
              <w:rPr>
                <w:rFonts w:ascii="Trebuchet MS" w:hAnsi="Trebuchet MS"/>
                <w:sz w:val="22"/>
                <w:szCs w:val="22"/>
                <w:lang w:val="ro-RO"/>
              </w:rPr>
              <w:t xml:space="preserve">nu se referă la acest subiect. </w:t>
            </w:r>
          </w:p>
        </w:tc>
      </w:tr>
      <w:tr w:rsidR="007474FD" w:rsidRPr="00CB59A6" w:rsidTr="0061551C">
        <w:tc>
          <w:tcPr>
            <w:tcW w:w="5101" w:type="dxa"/>
          </w:tcPr>
          <w:p w:rsidR="007474FD" w:rsidRPr="00CB59A6" w:rsidRDefault="007474FD" w:rsidP="0029060D">
            <w:pPr>
              <w:numPr>
                <w:ilvl w:val="0"/>
                <w:numId w:val="1"/>
              </w:numPr>
              <w:tabs>
                <w:tab w:val="left" w:pos="9810"/>
              </w:tabs>
              <w:spacing w:line="276" w:lineRule="auto"/>
              <w:ind w:left="36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C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ompatibilitatea proiectului de 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act normativ cu legislaţia comunitară în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>materie</w:t>
            </w:r>
          </w:p>
        </w:tc>
        <w:tc>
          <w:tcPr>
            <w:tcW w:w="4646" w:type="dxa"/>
          </w:tcPr>
          <w:p w:rsidR="007474FD" w:rsidRPr="0029060D" w:rsidRDefault="00347797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Proiectul de act normativ </w:t>
            </w:r>
            <w:r w:rsidRPr="001A47FB">
              <w:rPr>
                <w:rFonts w:ascii="Trebuchet MS" w:hAnsi="Trebuchet MS"/>
                <w:sz w:val="22"/>
                <w:szCs w:val="22"/>
              </w:rPr>
              <w:t>transpune  art. 2 și art. 3 din Directiva nr. 2017/2109 a Parlamentului European și a Consiliului din 15 noiembrie 2017 de modificare a Directivei 98/41/CE a Consiliului privind înregistrarea persoanelor care călătoresc la bordul navelor de pasageri care operează în porturile de destinație sau de plecare din statele membre ale Comunității și a Directivei 2010/65/UE a Parlamentului European și a Consiliului privind formalitățile de raportare aplicabile navelor la sosirea în și/sau la plecarea din porturile statelor membre, publicată în Jurnalul Oficial al Uniunii Europene, seria L, nr. 315 din 30 noiembrie 2017.</w:t>
            </w:r>
          </w:p>
        </w:tc>
      </w:tr>
      <w:tr w:rsidR="007474FD" w:rsidRPr="00CB59A6" w:rsidTr="0061551C">
        <w:tc>
          <w:tcPr>
            <w:tcW w:w="5101" w:type="dxa"/>
          </w:tcPr>
          <w:p w:rsidR="007474FD" w:rsidRPr="00CB59A6" w:rsidRDefault="007474FD" w:rsidP="0029060D">
            <w:pPr>
              <w:numPr>
                <w:ilvl w:val="0"/>
                <w:numId w:val="1"/>
              </w:numPr>
              <w:tabs>
                <w:tab w:val="left" w:pos="9810"/>
              </w:tabs>
              <w:spacing w:line="276" w:lineRule="auto"/>
              <w:ind w:left="360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Decizii ale 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Curţii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Europene 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de Justiţie </w:t>
            </w:r>
            <w:r>
              <w:rPr>
                <w:rFonts w:ascii="Trebuchet MS" w:hAnsi="Trebuchet MS"/>
                <w:sz w:val="22"/>
                <w:szCs w:val="22"/>
                <w:lang w:val="ro-RO"/>
              </w:rPr>
              <w:t xml:space="preserve">și alte documente </w:t>
            </w:r>
          </w:p>
        </w:tc>
        <w:tc>
          <w:tcPr>
            <w:tcW w:w="4646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Proiectul de act normativ nu se referă la acest subiect. </w:t>
            </w:r>
          </w:p>
        </w:tc>
      </w:tr>
      <w:tr w:rsidR="007474FD" w:rsidRPr="00CB59A6" w:rsidTr="0061551C">
        <w:tc>
          <w:tcPr>
            <w:tcW w:w="5101" w:type="dxa"/>
          </w:tcPr>
          <w:p w:rsidR="007474FD" w:rsidRPr="00CB59A6" w:rsidRDefault="007474FD" w:rsidP="0029060D">
            <w:pPr>
              <w:numPr>
                <w:ilvl w:val="0"/>
                <w:numId w:val="1"/>
              </w:numPr>
              <w:tabs>
                <w:tab w:val="left" w:pos="9810"/>
              </w:tabs>
              <w:spacing w:line="276" w:lineRule="auto"/>
              <w:ind w:left="360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Evaluarea conformității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646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Nu este cazul</w:t>
            </w:r>
          </w:p>
        </w:tc>
      </w:tr>
      <w:tr w:rsidR="007474FD" w:rsidRPr="00CB59A6" w:rsidTr="0061551C">
        <w:tc>
          <w:tcPr>
            <w:tcW w:w="5101" w:type="dxa"/>
          </w:tcPr>
          <w:p w:rsidR="007474FD" w:rsidRDefault="007474FD" w:rsidP="0029060D">
            <w:pPr>
              <w:numPr>
                <w:ilvl w:val="0"/>
                <w:numId w:val="1"/>
              </w:numPr>
              <w:tabs>
                <w:tab w:val="left" w:pos="9810"/>
              </w:tabs>
              <w:spacing w:line="276" w:lineRule="auto"/>
              <w:ind w:left="360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Alte acte normative și/sau documente internaționale din care decurg angajamente</w:t>
            </w:r>
          </w:p>
        </w:tc>
        <w:tc>
          <w:tcPr>
            <w:tcW w:w="4646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Nu este cazul</w:t>
            </w:r>
          </w:p>
        </w:tc>
      </w:tr>
      <w:tr w:rsidR="007474FD" w:rsidRPr="00CB59A6" w:rsidTr="0061551C">
        <w:tc>
          <w:tcPr>
            <w:tcW w:w="5101" w:type="dxa"/>
          </w:tcPr>
          <w:p w:rsidR="007474FD" w:rsidRPr="00CB59A6" w:rsidRDefault="007474FD" w:rsidP="0029060D">
            <w:pPr>
              <w:numPr>
                <w:ilvl w:val="0"/>
                <w:numId w:val="1"/>
              </w:numPr>
              <w:tabs>
                <w:tab w:val="left" w:pos="9810"/>
              </w:tabs>
              <w:spacing w:line="276" w:lineRule="auto"/>
              <w:ind w:left="36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Alte informaţii</w:t>
            </w:r>
          </w:p>
        </w:tc>
        <w:tc>
          <w:tcPr>
            <w:tcW w:w="4646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Nu au fost identificate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7474FD" w:rsidRPr="00CB59A6" w:rsidRDefault="007474FD" w:rsidP="0029060D">
      <w:pPr>
        <w:tabs>
          <w:tab w:val="left" w:pos="9810"/>
        </w:tabs>
        <w:spacing w:before="240"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Secțiunea a 6-a</w:t>
      </w:r>
    </w:p>
    <w:p w:rsidR="007474FD" w:rsidRPr="00CB59A6" w:rsidRDefault="007474FD" w:rsidP="0029060D">
      <w:pPr>
        <w:tabs>
          <w:tab w:val="left" w:pos="9810"/>
        </w:tabs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Consultările efectuate în vederea elaborării</w:t>
      </w:r>
    </w:p>
    <w:p w:rsidR="007474FD" w:rsidRDefault="007474FD" w:rsidP="0029060D">
      <w:pPr>
        <w:tabs>
          <w:tab w:val="left" w:pos="9810"/>
        </w:tabs>
        <w:spacing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 xml:space="preserve"> proiectului de act normativ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599"/>
      </w:tblGrid>
      <w:tr w:rsidR="007474FD" w:rsidRPr="00CB59A6" w:rsidTr="00855D4F">
        <w:tc>
          <w:tcPr>
            <w:tcW w:w="5148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1. Informaţii privind procesul de consultare cu organizaţii neguvernamentale, institute de cercetare şi alte organisme implicate</w:t>
            </w:r>
          </w:p>
        </w:tc>
        <w:tc>
          <w:tcPr>
            <w:tcW w:w="4599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  <w:tr w:rsidR="007474FD" w:rsidRPr="00CB59A6" w:rsidTr="00855D4F">
        <w:tc>
          <w:tcPr>
            <w:tcW w:w="5148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2. Fundamentarea alegerii organizaţiilor cu care a avut loc consultarea, precum şi a modului în care activitatea acestor organizaţii este legată de obiectul proiectului de act normativ</w:t>
            </w:r>
          </w:p>
        </w:tc>
        <w:tc>
          <w:tcPr>
            <w:tcW w:w="4599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Proiectul de act normativ nu se referă la acest subiect. </w:t>
            </w:r>
          </w:p>
        </w:tc>
      </w:tr>
      <w:tr w:rsidR="007474FD" w:rsidRPr="00CB59A6" w:rsidTr="00855D4F">
        <w:tc>
          <w:tcPr>
            <w:tcW w:w="5148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3. Consultările organizate cu autorităţile administraţiei publice locale, în situaţia în care proiectul de act normativ are ca obiect activităţi ale acestor autorităţi, în condiţiile Hotărârii Guvernului nr. 521/2005 privind procedura de consultare a structurilor asociative ale autorităţilor administraţiei publice locale la elaborarea proiectelor de acte normative.</w:t>
            </w:r>
          </w:p>
        </w:tc>
        <w:tc>
          <w:tcPr>
            <w:tcW w:w="4599" w:type="dxa"/>
          </w:tcPr>
          <w:p w:rsidR="007474FD" w:rsidRPr="00033FCB" w:rsidRDefault="00033FCB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033FCB">
              <w:rPr>
                <w:rFonts w:ascii="Trebuchet MS" w:hAnsi="Trebuchet MS"/>
                <w:sz w:val="22"/>
                <w:szCs w:val="22"/>
              </w:rPr>
              <w:t xml:space="preserve">Pentru elaborarea proiectului de act normativ a fost consultată Autoritatea Navală Română, </w:t>
            </w:r>
            <w:r>
              <w:rPr>
                <w:rFonts w:ascii="Trebuchet MS" w:hAnsi="Trebuchet MS"/>
                <w:sz w:val="22"/>
                <w:szCs w:val="22"/>
              </w:rPr>
              <w:t xml:space="preserve">organ tehnic </w:t>
            </w:r>
            <w:r w:rsidRPr="00033FCB">
              <w:rPr>
                <w:rFonts w:ascii="Trebuchet MS" w:hAnsi="Trebuchet MS"/>
                <w:sz w:val="22"/>
                <w:szCs w:val="22"/>
              </w:rPr>
              <w:t xml:space="preserve">de specialitate din subordinea Ministerul Transporturilor în domeniul siguranţei navigaţiei şi al securităţii navelor, care gestionează </w:t>
            </w:r>
            <w:r>
              <w:rPr>
                <w:rFonts w:ascii="Trebuchet MS" w:hAnsi="Trebuchet MS"/>
                <w:sz w:val="22"/>
                <w:szCs w:val="22"/>
              </w:rPr>
              <w:t>”</w:t>
            </w:r>
            <w:r w:rsidRPr="00033FCB">
              <w:rPr>
                <w:rFonts w:ascii="Trebuchet MS" w:hAnsi="Trebuchet MS"/>
                <w:sz w:val="22"/>
                <w:szCs w:val="22"/>
              </w:rPr>
              <w:t>interfaţa electronică unică</w:t>
            </w:r>
            <w:r>
              <w:rPr>
                <w:rFonts w:ascii="Trebuchet MS" w:hAnsi="Trebuchet MS"/>
                <w:sz w:val="22"/>
                <w:szCs w:val="22"/>
              </w:rPr>
              <w:t>” națională</w:t>
            </w:r>
            <w:r w:rsidRPr="00033FCB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7474FD" w:rsidRPr="00CB59A6" w:rsidTr="00855D4F">
        <w:tc>
          <w:tcPr>
            <w:tcW w:w="5148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4. Consultările desfăşurate în cadrul consiliilor interministeriale, în conformitate cu prevederile Hotărârii Guvernului nr. 750/2005 privind constituirea consiliilor interministeriale permanente.</w:t>
            </w:r>
          </w:p>
        </w:tc>
        <w:tc>
          <w:tcPr>
            <w:tcW w:w="4599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Proiectul de act normativ nu se referă la domeniile de activitate aflate în coordonarea consiliilor interministeriale permanente.</w:t>
            </w:r>
          </w:p>
        </w:tc>
      </w:tr>
      <w:tr w:rsidR="007474FD" w:rsidRPr="00CB59A6" w:rsidTr="00855D4F">
        <w:tc>
          <w:tcPr>
            <w:tcW w:w="5148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5. Informaţii privind avizarea de către:</w:t>
            </w:r>
          </w:p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a) Consiliul Legislativ</w:t>
            </w:r>
          </w:p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b) Consiliul Suprem de Apărare al Ţării</w:t>
            </w:r>
          </w:p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c) Consiliul Economic şi Social</w:t>
            </w:r>
          </w:p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d) Consiliul Concurenţei</w:t>
            </w:r>
          </w:p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e) Curtea de Conturi </w:t>
            </w:r>
          </w:p>
        </w:tc>
        <w:tc>
          <w:tcPr>
            <w:tcW w:w="4599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Proiectul de act normativ </w:t>
            </w:r>
            <w:r w:rsidR="00E21F35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v</w:t>
            </w:r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a f</w:t>
            </w:r>
            <w:r w:rsidR="00E21F35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i</w:t>
            </w:r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 avizat de Consiliul Legislativ.</w:t>
            </w:r>
          </w:p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>Proiectul de act normativ nu necesită aviz de la Consiliul Suprem de Apărare a Ţării, Consiliul Economic şi Social, Consiliul Concurenţei, Curtea de Conturi.</w:t>
            </w:r>
          </w:p>
        </w:tc>
      </w:tr>
      <w:tr w:rsidR="007474FD" w:rsidRPr="00CB59A6" w:rsidTr="00855D4F">
        <w:tc>
          <w:tcPr>
            <w:tcW w:w="5148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6. Alte informaţii</w:t>
            </w:r>
          </w:p>
        </w:tc>
        <w:tc>
          <w:tcPr>
            <w:tcW w:w="4599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subiect.</w:t>
            </w:r>
          </w:p>
        </w:tc>
      </w:tr>
    </w:tbl>
    <w:p w:rsidR="007474FD" w:rsidRPr="00CB59A6" w:rsidRDefault="007474FD" w:rsidP="0029060D">
      <w:pPr>
        <w:tabs>
          <w:tab w:val="left" w:pos="9810"/>
        </w:tabs>
        <w:spacing w:before="240" w:line="276" w:lineRule="auto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Secțiunea a 7-a</w:t>
      </w:r>
    </w:p>
    <w:p w:rsidR="007474FD" w:rsidRPr="00CB59A6" w:rsidRDefault="007474FD" w:rsidP="0029060D">
      <w:pPr>
        <w:tabs>
          <w:tab w:val="left" w:pos="9810"/>
        </w:tabs>
        <w:spacing w:line="276" w:lineRule="auto"/>
        <w:ind w:right="261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 xml:space="preserve">Activităţi de informare publică privind elaborarea </w:t>
      </w:r>
    </w:p>
    <w:p w:rsidR="007474FD" w:rsidRDefault="007474FD" w:rsidP="0029060D">
      <w:pPr>
        <w:tabs>
          <w:tab w:val="left" w:pos="9810"/>
        </w:tabs>
        <w:spacing w:line="276" w:lineRule="auto"/>
        <w:ind w:right="261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şi implementarea proiectului de act normativ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599"/>
      </w:tblGrid>
      <w:tr w:rsidR="007474FD" w:rsidRPr="00CB59A6" w:rsidTr="00855D4F">
        <w:tc>
          <w:tcPr>
            <w:tcW w:w="5148" w:type="dxa"/>
          </w:tcPr>
          <w:p w:rsidR="007474FD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1. Informarea societăţii civile cu privire la necesitatea elaborării proiectului de act normativ</w:t>
            </w:r>
          </w:p>
          <w:p w:rsidR="00E21F35" w:rsidRDefault="00E21F35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E21F35" w:rsidRDefault="00E21F35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  <w:p w:rsidR="00E21F35" w:rsidRPr="00CB59A6" w:rsidRDefault="00E21F35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4599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bCs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bCs/>
                <w:sz w:val="22"/>
                <w:szCs w:val="22"/>
                <w:lang w:val="ro-RO"/>
              </w:rPr>
              <w:t xml:space="preserve">Menționăm că au fost întreprinse demersurile legale prevăzute de art. 7 alin. (1) din Regulamentul privind procedurile la nivelul Guvernului, pentru elaborarea, avizarea și prezentarea proiectelor de documente de politici publice, a proiectelor de acte normative, precum și a altor documente în vederea adoptării/aprobării prin Hotărârea Guvernului nr. 561/2009. </w:t>
            </w:r>
          </w:p>
        </w:tc>
      </w:tr>
      <w:tr w:rsidR="007474FD" w:rsidRPr="00CB59A6" w:rsidTr="00855D4F">
        <w:tc>
          <w:tcPr>
            <w:tcW w:w="5148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 xml:space="preserve">2. Informarea societăţii civile cu privire la eventualul impact asupra mediului în urma </w:t>
            </w: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lastRenderedPageBreak/>
              <w:t>implementării proiectului de act normativ, precum şi efectele asupra sănătăţii şi securităţii cetăţenilor sau diversităţii biologice</w:t>
            </w:r>
          </w:p>
        </w:tc>
        <w:tc>
          <w:tcPr>
            <w:tcW w:w="4599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lastRenderedPageBreak/>
              <w:t>Acest proiect de act normativ nu are impact asupra acestui domeniu.</w:t>
            </w:r>
          </w:p>
        </w:tc>
      </w:tr>
      <w:tr w:rsidR="007474FD" w:rsidRPr="00CB59A6" w:rsidTr="00855D4F">
        <w:tc>
          <w:tcPr>
            <w:tcW w:w="5148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3. Alte informaţii</w:t>
            </w:r>
          </w:p>
        </w:tc>
        <w:tc>
          <w:tcPr>
            <w:tcW w:w="4599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Nu au fost identificate</w:t>
            </w:r>
          </w:p>
        </w:tc>
      </w:tr>
    </w:tbl>
    <w:p w:rsidR="007474FD" w:rsidRPr="00CB59A6" w:rsidRDefault="007474FD" w:rsidP="0029060D">
      <w:pPr>
        <w:tabs>
          <w:tab w:val="left" w:pos="9810"/>
        </w:tabs>
        <w:spacing w:before="240"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Secțiunea a 8-a</w:t>
      </w:r>
    </w:p>
    <w:p w:rsidR="007474FD" w:rsidRDefault="007474FD" w:rsidP="0029060D">
      <w:pPr>
        <w:tabs>
          <w:tab w:val="left" w:pos="9810"/>
        </w:tabs>
        <w:spacing w:line="276" w:lineRule="auto"/>
        <w:ind w:left="-9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CB59A6">
        <w:rPr>
          <w:rFonts w:ascii="Trebuchet MS" w:hAnsi="Trebuchet MS"/>
          <w:b/>
          <w:sz w:val="22"/>
          <w:szCs w:val="22"/>
          <w:lang w:val="ro-RO"/>
        </w:rPr>
        <w:t>Măsuri de implementare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57"/>
      </w:tblGrid>
      <w:tr w:rsidR="007474FD" w:rsidRPr="00CB59A6" w:rsidTr="000E115F">
        <w:tc>
          <w:tcPr>
            <w:tcW w:w="5148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1. Măsurile de punere în aplicare a proiectului de act normativ de către autorităţile administraţiei publice centrale şi/sau locale – înfiinţarea unor noi organisme sau extinderea competenţelor instituţiilor existente</w:t>
            </w:r>
          </w:p>
        </w:tc>
        <w:tc>
          <w:tcPr>
            <w:tcW w:w="4657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Proiectul de act normativ nu se referă la acest subiect</w:t>
            </w:r>
          </w:p>
        </w:tc>
      </w:tr>
      <w:tr w:rsidR="007474FD" w:rsidRPr="00CB59A6" w:rsidTr="000E115F">
        <w:tc>
          <w:tcPr>
            <w:tcW w:w="5148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CB59A6">
              <w:rPr>
                <w:rFonts w:ascii="Trebuchet MS" w:hAnsi="Trebuchet MS"/>
                <w:sz w:val="22"/>
                <w:szCs w:val="22"/>
                <w:lang w:val="ro-RO"/>
              </w:rPr>
              <w:t>2. Alte informaţii</w:t>
            </w:r>
          </w:p>
        </w:tc>
        <w:tc>
          <w:tcPr>
            <w:tcW w:w="4657" w:type="dxa"/>
          </w:tcPr>
          <w:p w:rsidR="007474FD" w:rsidRPr="00CB59A6" w:rsidRDefault="007474FD" w:rsidP="0029060D">
            <w:pPr>
              <w:tabs>
                <w:tab w:val="left" w:pos="9810"/>
              </w:tabs>
              <w:spacing w:line="276" w:lineRule="auto"/>
              <w:jc w:val="both"/>
              <w:rPr>
                <w:rFonts w:ascii="Trebuchet MS" w:hAnsi="Trebuchet MS"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sz w:val="22"/>
                <w:szCs w:val="22"/>
                <w:lang w:val="ro-RO"/>
              </w:rPr>
              <w:t>Nu este cazul</w:t>
            </w:r>
          </w:p>
        </w:tc>
      </w:tr>
    </w:tbl>
    <w:p w:rsidR="007474FD" w:rsidRDefault="007474FD" w:rsidP="0029060D">
      <w:pPr>
        <w:tabs>
          <w:tab w:val="left" w:pos="9810"/>
        </w:tabs>
        <w:spacing w:line="276" w:lineRule="auto"/>
        <w:ind w:left="-180" w:right="666" w:firstLine="180"/>
        <w:jc w:val="both"/>
        <w:rPr>
          <w:rFonts w:ascii="Trebuchet MS" w:hAnsi="Trebuchet MS"/>
          <w:sz w:val="22"/>
          <w:szCs w:val="22"/>
          <w:lang w:val="ro-RO"/>
        </w:rPr>
      </w:pPr>
    </w:p>
    <w:p w:rsidR="007474FD" w:rsidRDefault="007474FD" w:rsidP="0029060D">
      <w:pPr>
        <w:tabs>
          <w:tab w:val="left" w:pos="9810"/>
        </w:tabs>
        <w:spacing w:line="276" w:lineRule="auto"/>
        <w:ind w:left="-180" w:right="666" w:firstLine="180"/>
        <w:jc w:val="both"/>
        <w:rPr>
          <w:rFonts w:ascii="Trebuchet MS" w:hAnsi="Trebuchet MS"/>
          <w:sz w:val="22"/>
          <w:szCs w:val="22"/>
          <w:lang w:val="ro-RO"/>
        </w:rPr>
      </w:pPr>
    </w:p>
    <w:p w:rsidR="007474FD" w:rsidRPr="00E21F35" w:rsidRDefault="007474FD" w:rsidP="0029060D">
      <w:pPr>
        <w:tabs>
          <w:tab w:val="left" w:pos="9810"/>
        </w:tabs>
        <w:spacing w:line="276" w:lineRule="auto"/>
        <w:ind w:right="396"/>
        <w:jc w:val="both"/>
        <w:rPr>
          <w:rFonts w:ascii="Trebuchet MS" w:hAnsi="Trebuchet MS"/>
          <w:b/>
          <w:bCs/>
        </w:rPr>
      </w:pPr>
      <w:r w:rsidRPr="00CB59A6">
        <w:rPr>
          <w:rFonts w:ascii="Trebuchet MS" w:hAnsi="Trebuchet MS"/>
          <w:sz w:val="22"/>
          <w:szCs w:val="22"/>
          <w:lang w:val="ro-RO"/>
        </w:rPr>
        <w:t xml:space="preserve">Având în vedere cele de mai sus, </w:t>
      </w:r>
      <w:r>
        <w:rPr>
          <w:rFonts w:ascii="Trebuchet MS" w:hAnsi="Trebuchet MS"/>
          <w:sz w:val="22"/>
          <w:szCs w:val="22"/>
          <w:lang w:val="ro-RO"/>
        </w:rPr>
        <w:t xml:space="preserve">a fost elaborat </w:t>
      </w:r>
      <w:r w:rsidRPr="00CB59A6">
        <w:rPr>
          <w:rFonts w:ascii="Trebuchet MS" w:hAnsi="Trebuchet MS"/>
          <w:b/>
          <w:sz w:val="22"/>
          <w:szCs w:val="22"/>
          <w:lang w:val="ro-RO"/>
        </w:rPr>
        <w:t>proiectul de Hotărâre de Guvern</w:t>
      </w:r>
      <w:r w:rsidR="00E21F35" w:rsidRPr="00E21F35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E21F35" w:rsidRPr="0030082E">
        <w:rPr>
          <w:rFonts w:ascii="Trebuchet MS" w:hAnsi="Trebuchet MS"/>
          <w:b/>
          <w:sz w:val="22"/>
          <w:szCs w:val="22"/>
          <w:lang w:val="ro-RO"/>
        </w:rPr>
        <w:t xml:space="preserve">pentru </w:t>
      </w:r>
      <w:r w:rsidR="00E21F35" w:rsidRPr="006F4654">
        <w:rPr>
          <w:rFonts w:ascii="Trebuchet MS" w:hAnsi="Trebuchet MS"/>
          <w:b/>
          <w:sz w:val="22"/>
          <w:szCs w:val="22"/>
        </w:rPr>
        <w:t xml:space="preserve">completarea anexei la Legea nr.162/2013 </w:t>
      </w:r>
      <w:r w:rsidR="00E21F35" w:rsidRPr="006F4654">
        <w:rPr>
          <w:rFonts w:ascii="Trebuchet MS" w:hAnsi="Trebuchet MS"/>
          <w:b/>
          <w:bCs/>
          <w:sz w:val="22"/>
          <w:szCs w:val="22"/>
        </w:rPr>
        <w:t>privind formalităţile de raportare aplicabile navelor la sosirea în şi/sau la plecarea din porturile româneşti</w:t>
      </w:r>
      <w:r w:rsidR="00E21F35">
        <w:rPr>
          <w:rFonts w:ascii="Trebuchet MS" w:hAnsi="Trebuchet MS"/>
          <w:b/>
          <w:bCs/>
        </w:rPr>
        <w:t xml:space="preserve"> </w:t>
      </w:r>
      <w:r w:rsidRPr="00CB59A6">
        <w:rPr>
          <w:rFonts w:ascii="Trebuchet MS" w:hAnsi="Trebuchet MS"/>
          <w:sz w:val="22"/>
          <w:szCs w:val="22"/>
          <w:lang w:val="ro-RO"/>
        </w:rPr>
        <w:t>care</w:t>
      </w:r>
      <w:r>
        <w:rPr>
          <w:rFonts w:ascii="Trebuchet MS" w:hAnsi="Trebuchet MS"/>
          <w:sz w:val="22"/>
          <w:szCs w:val="22"/>
          <w:lang w:val="ro-RO"/>
        </w:rPr>
        <w:t>,</w:t>
      </w:r>
      <w:r w:rsidRPr="00CB59A6">
        <w:rPr>
          <w:rFonts w:ascii="Trebuchet MS" w:hAnsi="Trebuchet MS"/>
          <w:sz w:val="22"/>
          <w:szCs w:val="22"/>
          <w:lang w:val="ro-RO"/>
        </w:rPr>
        <w:t xml:space="preserve"> în forma prezentată</w:t>
      </w:r>
      <w:r>
        <w:rPr>
          <w:rFonts w:ascii="Trebuchet MS" w:hAnsi="Trebuchet MS"/>
          <w:sz w:val="22"/>
          <w:szCs w:val="22"/>
          <w:lang w:val="ro-RO"/>
        </w:rPr>
        <w:t>,</w:t>
      </w:r>
      <w:r w:rsidRPr="00CB59A6">
        <w:rPr>
          <w:rFonts w:ascii="Trebuchet MS" w:hAnsi="Trebuchet MS"/>
          <w:sz w:val="22"/>
          <w:szCs w:val="22"/>
          <w:lang w:val="ro-RO"/>
        </w:rPr>
        <w:t xml:space="preserve"> a fost a</w:t>
      </w:r>
      <w:r>
        <w:rPr>
          <w:rFonts w:ascii="Trebuchet MS" w:hAnsi="Trebuchet MS"/>
          <w:sz w:val="22"/>
          <w:szCs w:val="22"/>
          <w:lang w:val="ro-RO"/>
        </w:rPr>
        <w:t>vizat de ministerele interesate și pe care îl supunem spre aprobare.</w:t>
      </w:r>
    </w:p>
    <w:p w:rsidR="007474FD" w:rsidRDefault="007474FD" w:rsidP="0029060D">
      <w:pPr>
        <w:tabs>
          <w:tab w:val="left" w:pos="9810"/>
        </w:tabs>
        <w:spacing w:line="276" w:lineRule="auto"/>
        <w:ind w:right="544" w:firstLine="72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7474FD" w:rsidRDefault="007474FD" w:rsidP="007474FD">
      <w:pPr>
        <w:spacing w:line="276" w:lineRule="auto"/>
        <w:ind w:right="544" w:firstLine="72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E21F35" w:rsidRDefault="00E21F35" w:rsidP="00E21F35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E21F35">
        <w:rPr>
          <w:rFonts w:ascii="Trebuchet MS" w:hAnsi="Trebuchet MS"/>
          <w:b/>
          <w:sz w:val="22"/>
          <w:szCs w:val="22"/>
          <w:lang w:val="ro-RO"/>
        </w:rPr>
        <w:t>MINISTRUL TRANSPORTURILOR</w:t>
      </w:r>
    </w:p>
    <w:p w:rsidR="00E21F35" w:rsidRPr="00E21F35" w:rsidRDefault="00E21F35" w:rsidP="00E21F35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21F35" w:rsidRDefault="00E21F35" w:rsidP="00E21F3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 w:rsidRPr="00E21F35">
        <w:rPr>
          <w:rFonts w:ascii="Trebuchet MS" w:hAnsi="Trebuchet MS"/>
          <w:b/>
          <w:bCs/>
          <w:sz w:val="22"/>
          <w:szCs w:val="22"/>
          <w:lang w:val="ro-RO"/>
        </w:rPr>
        <w:t>ALEXANDRU – RĂZVAN CUC</w:t>
      </w:r>
    </w:p>
    <w:p w:rsidR="00E21F35" w:rsidRDefault="00E21F35" w:rsidP="00E21F3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Default="00E21F35" w:rsidP="00E21F3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Default="00E21F35" w:rsidP="00E21F3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Default="00E21F35" w:rsidP="00E21F3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Pr="00E21F35" w:rsidRDefault="00E21F35" w:rsidP="00E21F35">
      <w:pPr>
        <w:spacing w:line="360" w:lineRule="auto"/>
        <w:ind w:right="-285"/>
        <w:contextualSpacing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21F35" w:rsidRPr="00E21F35" w:rsidRDefault="00E21F35" w:rsidP="00E21F35">
      <w:pPr>
        <w:spacing w:line="360" w:lineRule="auto"/>
        <w:contextualSpacing/>
        <w:rPr>
          <w:rFonts w:ascii="Trebuchet MS" w:hAnsi="Trebuchet MS"/>
          <w:b/>
          <w:sz w:val="22"/>
          <w:szCs w:val="22"/>
          <w:u w:val="single"/>
          <w:lang w:val="ro-RO"/>
        </w:rPr>
      </w:pPr>
      <w:r w:rsidRPr="00E21F35">
        <w:rPr>
          <w:rFonts w:ascii="Trebuchet MS" w:hAnsi="Trebuchet MS"/>
          <w:b/>
          <w:sz w:val="22"/>
          <w:szCs w:val="22"/>
          <w:u w:val="single"/>
          <w:lang w:val="ro-RO"/>
        </w:rPr>
        <w:t>AVIZĂM FAVORABIL:</w:t>
      </w:r>
    </w:p>
    <w:p w:rsidR="00E21F35" w:rsidRPr="00E21F35" w:rsidRDefault="00E21F35" w:rsidP="00E21F35">
      <w:pPr>
        <w:spacing w:line="360" w:lineRule="auto"/>
        <w:ind w:hanging="142"/>
        <w:contextualSpacing/>
        <w:rPr>
          <w:rFonts w:ascii="Trebuchet MS" w:hAnsi="Trebuchet MS"/>
          <w:b/>
          <w:sz w:val="22"/>
          <w:szCs w:val="22"/>
          <w:lang w:val="ro-RO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21F35" w:rsidRPr="00E21F35" w:rsidTr="00855D4F">
        <w:trPr>
          <w:jc w:val="center"/>
        </w:trPr>
        <w:tc>
          <w:tcPr>
            <w:tcW w:w="4788" w:type="dxa"/>
          </w:tcPr>
          <w:p w:rsidR="00E21F35" w:rsidRDefault="00E21F35" w:rsidP="00E21F35">
            <w:pPr>
              <w:spacing w:after="100" w:afterAutospacing="1"/>
              <w:ind w:hanging="18"/>
              <w:contextualSpacing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E21F35">
              <w:rPr>
                <w:rFonts w:ascii="Trebuchet MS" w:hAnsi="Trebuchet MS"/>
                <w:b/>
                <w:sz w:val="22"/>
                <w:szCs w:val="22"/>
                <w:lang w:val="ro-RO"/>
              </w:rPr>
              <w:t>MINISTRUL AFACERILOR EXTERNE</w:t>
            </w:r>
          </w:p>
          <w:p w:rsidR="00E21F35" w:rsidRPr="00E21F35" w:rsidRDefault="00E21F35" w:rsidP="00E21F35">
            <w:pPr>
              <w:spacing w:after="100" w:afterAutospacing="1"/>
              <w:ind w:hanging="18"/>
              <w:contextualSpacing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:rsidR="00E21F35" w:rsidRPr="00E21F35" w:rsidRDefault="00E21F35" w:rsidP="00E21F35">
            <w:pPr>
              <w:spacing w:after="100" w:afterAutospacing="1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  <w:tc>
          <w:tcPr>
            <w:tcW w:w="4788" w:type="dxa"/>
          </w:tcPr>
          <w:p w:rsidR="00E21F35" w:rsidRPr="00E21F35" w:rsidRDefault="00E21F35" w:rsidP="00E21F35">
            <w:pPr>
              <w:spacing w:after="100" w:afterAutospacing="1"/>
              <w:ind w:hanging="142"/>
              <w:contextualSpacing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E21F35">
              <w:rPr>
                <w:rFonts w:ascii="Trebuchet MS" w:hAnsi="Trebuchet MS"/>
                <w:b/>
                <w:sz w:val="22"/>
                <w:szCs w:val="22"/>
                <w:lang w:val="ro-RO"/>
              </w:rPr>
              <w:t>MINISTRUL DELEGAT PENTRU AFACERI EUROPENE</w:t>
            </w:r>
          </w:p>
        </w:tc>
      </w:tr>
      <w:tr w:rsidR="00E21F35" w:rsidRPr="00E21F35" w:rsidTr="00855D4F">
        <w:trPr>
          <w:jc w:val="center"/>
        </w:trPr>
        <w:tc>
          <w:tcPr>
            <w:tcW w:w="4788" w:type="dxa"/>
          </w:tcPr>
          <w:p w:rsidR="00E21F35" w:rsidRPr="00E21F35" w:rsidRDefault="00E21F35" w:rsidP="007A291E">
            <w:pPr>
              <w:spacing w:after="100" w:afterAutospacing="1"/>
              <w:contextualSpacing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7A291E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RAMONA-NICOLE MĂNESCU</w:t>
            </w:r>
          </w:p>
        </w:tc>
        <w:tc>
          <w:tcPr>
            <w:tcW w:w="4788" w:type="dxa"/>
          </w:tcPr>
          <w:p w:rsidR="00E21F35" w:rsidRPr="00E21F35" w:rsidRDefault="00E21F35" w:rsidP="00E21F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/>
              <w:jc w:val="center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E21F35">
              <w:rPr>
                <w:rFonts w:ascii="Trebuchet MS" w:hAnsi="Trebuchet MS"/>
                <w:b/>
                <w:bCs/>
                <w:sz w:val="22"/>
                <w:szCs w:val="22"/>
                <w:lang w:val="ro-RO"/>
              </w:rPr>
              <w:t>GEORGE CIAMBA</w:t>
            </w:r>
          </w:p>
        </w:tc>
      </w:tr>
    </w:tbl>
    <w:p w:rsidR="00E21F35" w:rsidRPr="00E21F35" w:rsidRDefault="00E21F35" w:rsidP="00E21F35">
      <w:pPr>
        <w:spacing w:line="360" w:lineRule="auto"/>
        <w:contextualSpacing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21F35" w:rsidRPr="00E21F35" w:rsidRDefault="00E21F35" w:rsidP="00E21F35">
      <w:pPr>
        <w:spacing w:line="360" w:lineRule="auto"/>
        <w:ind w:hanging="142"/>
        <w:contextualSpacing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21F35" w:rsidRDefault="00E21F35" w:rsidP="00E21F35">
      <w:pPr>
        <w:spacing w:line="360" w:lineRule="auto"/>
        <w:ind w:hanging="142"/>
        <w:contextualSpacing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21F35" w:rsidRDefault="00E21F35" w:rsidP="00E21F35">
      <w:pPr>
        <w:spacing w:line="360" w:lineRule="auto"/>
        <w:ind w:hanging="142"/>
        <w:contextualSpacing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21F35" w:rsidRPr="00E21F35" w:rsidRDefault="00E21F35" w:rsidP="00E21F35">
      <w:pPr>
        <w:spacing w:line="360" w:lineRule="auto"/>
        <w:ind w:hanging="142"/>
        <w:contextualSpacing/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21F35" w:rsidRDefault="00E21F35" w:rsidP="00E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bookmarkStart w:id="0" w:name="_GoBack"/>
      <w:bookmarkEnd w:id="0"/>
      <w:r w:rsidRPr="00E21F35">
        <w:rPr>
          <w:rFonts w:ascii="Trebuchet MS" w:hAnsi="Trebuchet MS"/>
          <w:b/>
          <w:bCs/>
          <w:sz w:val="22"/>
          <w:szCs w:val="22"/>
          <w:lang w:val="ro-RO"/>
        </w:rPr>
        <w:t>MINISTRUL JUSTIȚIEI</w:t>
      </w:r>
    </w:p>
    <w:p w:rsidR="00E21F35" w:rsidRPr="00E21F35" w:rsidRDefault="00E21F35" w:rsidP="00E21F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Pr="00E21F35" w:rsidRDefault="00E21F35" w:rsidP="00E21F35">
      <w:pPr>
        <w:jc w:val="center"/>
        <w:rPr>
          <w:rFonts w:ascii="Trebuchet MS" w:hAnsi="Trebuchet MS"/>
          <w:sz w:val="22"/>
          <w:szCs w:val="22"/>
          <w:lang w:val="ro-RO" w:eastAsia="ro-RO"/>
        </w:rPr>
      </w:pPr>
      <w:r w:rsidRPr="00E21F35">
        <w:rPr>
          <w:rFonts w:ascii="Trebuchet MS" w:hAnsi="Trebuchet MS"/>
          <w:b/>
          <w:bCs/>
          <w:sz w:val="22"/>
          <w:szCs w:val="22"/>
          <w:lang w:val="ro-RO"/>
        </w:rPr>
        <w:t>ANA BIRCHALL</w:t>
      </w:r>
    </w:p>
    <w:p w:rsidR="00E21F35" w:rsidRPr="00E21F35" w:rsidRDefault="00E21F35" w:rsidP="00E21F35">
      <w:pPr>
        <w:rPr>
          <w:rFonts w:ascii="Trebuchet MS" w:hAnsi="Trebuchet MS"/>
          <w:sz w:val="22"/>
          <w:szCs w:val="22"/>
          <w:lang w:val="ro-RO" w:eastAsia="ro-RO"/>
        </w:rPr>
      </w:pPr>
    </w:p>
    <w:p w:rsidR="007474FD" w:rsidRPr="00E21F35" w:rsidRDefault="007474FD" w:rsidP="007474FD">
      <w:pPr>
        <w:spacing w:line="276" w:lineRule="auto"/>
        <w:ind w:right="544" w:firstLine="72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E21F35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 w:rsidRPr="00CB59A6">
        <w:rPr>
          <w:rFonts w:ascii="Trebuchet MS" w:hAnsi="Trebuchet MS"/>
          <w:b/>
          <w:bCs/>
          <w:sz w:val="22"/>
          <w:szCs w:val="22"/>
          <w:lang w:val="ro-RO"/>
        </w:rPr>
        <w:t>SECRETAR DE STAT</w:t>
      </w: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>
        <w:rPr>
          <w:rFonts w:ascii="Trebuchet MS" w:hAnsi="Trebuchet MS"/>
          <w:b/>
          <w:bCs/>
          <w:sz w:val="22"/>
          <w:szCs w:val="22"/>
          <w:lang w:val="ro-RO"/>
        </w:rPr>
        <w:t>Ionel MINEA</w:t>
      </w: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Pr="00CB59A6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 w:rsidRPr="00CB59A6">
        <w:rPr>
          <w:rFonts w:ascii="Trebuchet MS" w:hAnsi="Trebuchet MS"/>
          <w:b/>
          <w:bCs/>
          <w:sz w:val="22"/>
          <w:szCs w:val="22"/>
          <w:lang w:val="ro-RO"/>
        </w:rPr>
        <w:t xml:space="preserve">SECRETAR GENERAL </w:t>
      </w: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>
        <w:rPr>
          <w:rFonts w:ascii="Trebuchet MS" w:hAnsi="Trebuchet MS"/>
          <w:b/>
          <w:bCs/>
          <w:sz w:val="22"/>
          <w:szCs w:val="22"/>
          <w:lang w:val="ro-RO"/>
        </w:rPr>
        <w:t>Petre NEACȘA</w:t>
      </w:r>
    </w:p>
    <w:p w:rsidR="007474FD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Pr="00CB59A6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Default="007474FD" w:rsidP="00E21F3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 w:rsidRPr="00CB59A6">
        <w:rPr>
          <w:rFonts w:ascii="Trebuchet MS" w:hAnsi="Trebuchet MS"/>
          <w:b/>
          <w:bCs/>
          <w:sz w:val="22"/>
          <w:szCs w:val="22"/>
          <w:lang w:val="ro-RO"/>
        </w:rPr>
        <w:t xml:space="preserve">DIRECȚIA </w:t>
      </w:r>
      <w:r w:rsidR="00E21F35">
        <w:rPr>
          <w:rFonts w:ascii="Trebuchet MS" w:hAnsi="Trebuchet MS"/>
          <w:b/>
          <w:bCs/>
          <w:sz w:val="22"/>
          <w:szCs w:val="22"/>
          <w:lang w:val="ro-RO"/>
        </w:rPr>
        <w:t>AVIZARE</w:t>
      </w:r>
    </w:p>
    <w:p w:rsidR="00E21F35" w:rsidRDefault="00E21F35" w:rsidP="00E21F35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>
        <w:rPr>
          <w:rFonts w:ascii="Trebuchet MS" w:hAnsi="Trebuchet MS"/>
          <w:b/>
          <w:bCs/>
          <w:sz w:val="22"/>
          <w:szCs w:val="22"/>
          <w:lang w:val="ro-RO"/>
        </w:rPr>
        <w:t>DIRECTOR</w:t>
      </w:r>
    </w:p>
    <w:p w:rsidR="007474FD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Pr="00CB59A6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>
        <w:rPr>
          <w:rFonts w:ascii="Trebuchet MS" w:hAnsi="Trebuchet MS"/>
          <w:b/>
          <w:bCs/>
          <w:sz w:val="22"/>
          <w:szCs w:val="22"/>
          <w:lang w:val="ro-RO"/>
        </w:rPr>
        <w:t>Daniela DEUȘAN</w:t>
      </w: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Pr="00CB59A6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>
        <w:rPr>
          <w:rFonts w:ascii="Trebuchet MS" w:hAnsi="Trebuchet MS"/>
          <w:b/>
          <w:bCs/>
          <w:sz w:val="22"/>
          <w:szCs w:val="22"/>
          <w:lang w:val="ro-RO"/>
        </w:rPr>
        <w:t>DIRECȚIA AFACERI EUROPENE ȘI RELAȚII INTERNAȚIONALE</w:t>
      </w:r>
    </w:p>
    <w:p w:rsidR="00E21F35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>
        <w:rPr>
          <w:rFonts w:ascii="Trebuchet MS" w:hAnsi="Trebuchet MS"/>
          <w:b/>
          <w:bCs/>
          <w:sz w:val="22"/>
          <w:szCs w:val="22"/>
          <w:lang w:val="ro-RO"/>
        </w:rPr>
        <w:t>DIRECTOR</w:t>
      </w:r>
    </w:p>
    <w:p w:rsidR="00E21F35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Pr="00CB59A6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>
        <w:rPr>
          <w:rFonts w:ascii="Trebuchet MS" w:hAnsi="Trebuchet MS"/>
          <w:b/>
          <w:bCs/>
          <w:sz w:val="22"/>
          <w:szCs w:val="22"/>
          <w:lang w:val="ro-RO"/>
        </w:rPr>
        <w:t>Adela MIHUȚ</w:t>
      </w: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E21F35" w:rsidRPr="00CB59A6" w:rsidRDefault="00E21F35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 w:rsidRPr="00CB59A6">
        <w:rPr>
          <w:rFonts w:ascii="Trebuchet MS" w:hAnsi="Trebuchet MS"/>
          <w:b/>
          <w:bCs/>
          <w:sz w:val="22"/>
          <w:szCs w:val="22"/>
          <w:lang w:val="ro-RO"/>
        </w:rPr>
        <w:t>DIRECȚIA TRANSPORT NAVAL</w:t>
      </w: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 w:rsidRPr="00CB59A6">
        <w:rPr>
          <w:rFonts w:ascii="Trebuchet MS" w:hAnsi="Trebuchet MS"/>
          <w:b/>
          <w:bCs/>
          <w:sz w:val="22"/>
          <w:szCs w:val="22"/>
          <w:lang w:val="ro-RO"/>
        </w:rPr>
        <w:t>DIRECTOR</w:t>
      </w: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  <w:r w:rsidRPr="00CB59A6">
        <w:rPr>
          <w:rFonts w:ascii="Trebuchet MS" w:hAnsi="Trebuchet MS"/>
          <w:b/>
          <w:bCs/>
          <w:sz w:val="22"/>
          <w:szCs w:val="22"/>
          <w:lang w:val="ro-RO"/>
        </w:rPr>
        <w:t>Gabriela MURGEANU</w:t>
      </w:r>
    </w:p>
    <w:p w:rsidR="007474FD" w:rsidRPr="00CB59A6" w:rsidRDefault="007474FD" w:rsidP="007474FD">
      <w:pPr>
        <w:jc w:val="center"/>
        <w:rPr>
          <w:rFonts w:ascii="Trebuchet MS" w:hAnsi="Trebuchet MS"/>
          <w:b/>
          <w:bCs/>
          <w:sz w:val="22"/>
          <w:szCs w:val="22"/>
          <w:lang w:val="ro-RO"/>
        </w:rPr>
      </w:pPr>
    </w:p>
    <w:p w:rsidR="003060BA" w:rsidRDefault="003060BA"/>
    <w:sectPr w:rsidR="003060BA" w:rsidSect="00102C78">
      <w:footerReference w:type="default" r:id="rId7"/>
      <w:pgSz w:w="11907" w:h="16840" w:code="9"/>
      <w:pgMar w:top="851" w:right="567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F1" w:rsidRDefault="00010CF1">
      <w:r>
        <w:separator/>
      </w:r>
    </w:p>
  </w:endnote>
  <w:endnote w:type="continuationSeparator" w:id="0">
    <w:p w:rsidR="00010CF1" w:rsidRDefault="0001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3F" w:rsidRDefault="002906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291E">
      <w:rPr>
        <w:noProof/>
      </w:rPr>
      <w:t>7</w:t>
    </w:r>
    <w:r>
      <w:rPr>
        <w:noProof/>
      </w:rPr>
      <w:fldChar w:fldCharType="end"/>
    </w:r>
  </w:p>
  <w:p w:rsidR="00265F3F" w:rsidRDefault="00010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F1" w:rsidRDefault="00010CF1">
      <w:r>
        <w:separator/>
      </w:r>
    </w:p>
  </w:footnote>
  <w:footnote w:type="continuationSeparator" w:id="0">
    <w:p w:rsidR="00010CF1" w:rsidRDefault="0001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46849"/>
    <w:multiLevelType w:val="hybridMultilevel"/>
    <w:tmpl w:val="DE7E3FAA"/>
    <w:lvl w:ilvl="0" w:tplc="CCBA72F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EF3EA366">
      <w:start w:val="1"/>
      <w:numFmt w:val="lowerLetter"/>
      <w:lvlText w:val="%2)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F53C9"/>
    <w:multiLevelType w:val="hybridMultilevel"/>
    <w:tmpl w:val="5D62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FD"/>
    <w:rsid w:val="00010CF1"/>
    <w:rsid w:val="00033FCB"/>
    <w:rsid w:val="000E115F"/>
    <w:rsid w:val="001A47FB"/>
    <w:rsid w:val="001D4E17"/>
    <w:rsid w:val="0029060D"/>
    <w:rsid w:val="002F25E4"/>
    <w:rsid w:val="003060BA"/>
    <w:rsid w:val="00347797"/>
    <w:rsid w:val="004D407A"/>
    <w:rsid w:val="0061551C"/>
    <w:rsid w:val="00670149"/>
    <w:rsid w:val="00670B27"/>
    <w:rsid w:val="00734715"/>
    <w:rsid w:val="007474FD"/>
    <w:rsid w:val="007A291E"/>
    <w:rsid w:val="007E0FAC"/>
    <w:rsid w:val="0092603A"/>
    <w:rsid w:val="009B14DD"/>
    <w:rsid w:val="00A90282"/>
    <w:rsid w:val="00AC2996"/>
    <w:rsid w:val="00E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6CDC8-9098-4F11-986E-D71C787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474FD"/>
    <w:pPr>
      <w:keepNext/>
      <w:jc w:val="center"/>
      <w:outlineLvl w:val="3"/>
    </w:pPr>
    <w:rPr>
      <w:b/>
      <w:i/>
      <w:iCs/>
      <w:sz w:val="24"/>
      <w:szCs w:val="24"/>
      <w:u w:val="single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474FD"/>
    <w:rPr>
      <w:rFonts w:ascii="Times New Roman" w:eastAsia="Times New Roman" w:hAnsi="Times New Roman" w:cs="Times New Roman"/>
      <w:b/>
      <w:i/>
      <w:iCs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7474FD"/>
    <w:pPr>
      <w:jc w:val="both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7474FD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uiPriority w:val="99"/>
    <w:rsid w:val="007474FD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7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4FD"/>
    <w:rPr>
      <w:rFonts w:ascii="Times New Roman" w:eastAsia="Times New Roman" w:hAnsi="Times New Roman" w:cs="Times New Roman"/>
      <w:sz w:val="20"/>
      <w:szCs w:val="20"/>
    </w:rPr>
  </w:style>
  <w:style w:type="character" w:customStyle="1" w:styleId="preambul1">
    <w:name w:val="preambul1"/>
    <w:rsid w:val="007474FD"/>
    <w:rPr>
      <w:i/>
      <w:color w:val="000000"/>
    </w:rPr>
  </w:style>
  <w:style w:type="character" w:customStyle="1" w:styleId="l5tlu1">
    <w:name w:val="l5tlu1"/>
    <w:rsid w:val="007474FD"/>
    <w:rPr>
      <w:b/>
      <w:bCs/>
      <w:color w:val="000000"/>
      <w:sz w:val="32"/>
      <w:szCs w:val="32"/>
    </w:rPr>
  </w:style>
  <w:style w:type="character" w:customStyle="1" w:styleId="Bodytext2">
    <w:name w:val="Body text (2)_"/>
    <w:basedOn w:val="DefaultParagraphFont"/>
    <w:link w:val="Bodytext20"/>
    <w:rsid w:val="007474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474FD"/>
    <w:pPr>
      <w:widowControl w:val="0"/>
      <w:shd w:val="clear" w:color="auto" w:fill="FFFFFF"/>
      <w:spacing w:before="240" w:line="302" w:lineRule="exact"/>
      <w:jc w:val="both"/>
    </w:pPr>
    <w:rPr>
      <w:sz w:val="22"/>
      <w:szCs w:val="22"/>
    </w:rPr>
  </w:style>
  <w:style w:type="character" w:customStyle="1" w:styleId="Bodytext2Consolas13ptItalic">
    <w:name w:val="Body text (2) + Consolas;13 pt;Italic"/>
    <w:basedOn w:val="Bodytext2"/>
    <w:rsid w:val="007474FD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o-RO" w:eastAsia="ro-RO" w:bidi="ro-RO"/>
    </w:rPr>
  </w:style>
  <w:style w:type="paragraph" w:customStyle="1" w:styleId="Char">
    <w:name w:val="Char"/>
    <w:basedOn w:val="Normal"/>
    <w:rsid w:val="004D407A"/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D4E17"/>
    <w:pPr>
      <w:ind w:left="720"/>
      <w:contextualSpacing/>
    </w:pPr>
  </w:style>
  <w:style w:type="table" w:styleId="TableGrid">
    <w:name w:val="Table Grid"/>
    <w:basedOn w:val="TableNormal"/>
    <w:uiPriority w:val="99"/>
    <w:rsid w:val="00E21F35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Murgeanu</dc:creator>
  <cp:keywords/>
  <dc:description/>
  <cp:lastModifiedBy>Gabriela Murgeanu</cp:lastModifiedBy>
  <cp:revision>6</cp:revision>
  <cp:lastPrinted>2019-07-24T11:46:00Z</cp:lastPrinted>
  <dcterms:created xsi:type="dcterms:W3CDTF">2019-07-17T11:14:00Z</dcterms:created>
  <dcterms:modified xsi:type="dcterms:W3CDTF">2019-07-24T11:46:00Z</dcterms:modified>
</cp:coreProperties>
</file>