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3E" w:rsidRPr="00D17F3E" w:rsidRDefault="00D17F3E" w:rsidP="00D17F3E">
      <w:pPr>
        <w:rPr>
          <w:rFonts w:eastAsia="MS Mincho"/>
          <w:b/>
          <w:noProof/>
          <w:lang w:eastAsia="ro-RO"/>
        </w:rPr>
      </w:pPr>
      <w:r w:rsidRPr="00D17F3E">
        <w:rPr>
          <w:rFonts w:eastAsia="MS Mincho"/>
          <w:noProof/>
          <w:lang w:eastAsia="ro-RO"/>
        </w:rPr>
        <w:t xml:space="preserve">  </w:t>
      </w:r>
      <w:r w:rsidRPr="00D17F3E">
        <w:rPr>
          <w:rFonts w:eastAsia="MS Mincho"/>
          <w:b/>
          <w:noProof/>
          <w:lang w:eastAsia="ro-RO"/>
        </w:rPr>
        <w:t xml:space="preserve">DIRECTIA TRANSPORT NAVAL                                                 Nr. </w:t>
      </w:r>
      <w:r>
        <w:rPr>
          <w:rFonts w:eastAsia="MS Mincho"/>
          <w:b/>
          <w:noProof/>
          <w:lang w:eastAsia="ro-RO"/>
        </w:rPr>
        <w:t>………………………..</w:t>
      </w:r>
    </w:p>
    <w:p w:rsidR="00D17F3E" w:rsidRPr="00D17F3E" w:rsidRDefault="00D17F3E" w:rsidP="00D17F3E">
      <w:pPr>
        <w:rPr>
          <w:rFonts w:eastAsia="MS Mincho"/>
          <w:b/>
          <w:noProof/>
          <w:lang w:eastAsia="ro-RO"/>
        </w:rPr>
      </w:pP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r>
      <w:r w:rsidRPr="00D17F3E">
        <w:rPr>
          <w:rFonts w:eastAsia="MS Mincho"/>
          <w:b/>
          <w:noProof/>
          <w:lang w:eastAsia="ro-RO"/>
        </w:rPr>
        <w:tab/>
        <w:t xml:space="preserve">         Data</w:t>
      </w:r>
      <w:r>
        <w:rPr>
          <w:rFonts w:eastAsia="MS Mincho"/>
          <w:b/>
          <w:noProof/>
          <w:lang w:eastAsia="ro-RO"/>
        </w:rPr>
        <w:t xml:space="preserve"> ……………………..</w:t>
      </w:r>
    </w:p>
    <w:p w:rsidR="00D17F3E" w:rsidRPr="00D17F3E" w:rsidRDefault="00D17F3E" w:rsidP="00D17F3E">
      <w:pPr>
        <w:rPr>
          <w:rFonts w:eastAsia="MS Mincho"/>
          <w:noProof/>
          <w:lang w:eastAsia="ro-RO"/>
        </w:rPr>
      </w:pPr>
    </w:p>
    <w:p w:rsidR="00D17F3E" w:rsidRPr="00D17F3E" w:rsidRDefault="00D17F3E" w:rsidP="00D17F3E">
      <w:pPr>
        <w:ind w:right="431"/>
        <w:jc w:val="center"/>
        <w:rPr>
          <w:b/>
        </w:rPr>
      </w:pPr>
      <w:r w:rsidRPr="00D17F3E">
        <w:rPr>
          <w:b/>
        </w:rPr>
        <w:t>REFERAT DE APROBARE</w:t>
      </w:r>
    </w:p>
    <w:p w:rsidR="00D17F3E" w:rsidRPr="00D17F3E" w:rsidRDefault="00D17F3E" w:rsidP="00D17F3E">
      <w:pPr>
        <w:ind w:right="431"/>
        <w:jc w:val="center"/>
        <w:rPr>
          <w:b/>
        </w:rPr>
      </w:pPr>
      <w:r w:rsidRPr="00D17F3E">
        <w:rPr>
          <w:b/>
        </w:rPr>
        <w:t>privind modificarea şi completarea Ordinului ministrului transporturilor</w:t>
      </w:r>
      <w:r>
        <w:rPr>
          <w:b/>
        </w:rPr>
        <w:t xml:space="preserve">              </w:t>
      </w:r>
      <w:r w:rsidRPr="00D17F3E">
        <w:rPr>
          <w:b/>
        </w:rPr>
        <w:t xml:space="preserve"> nr. 1252/ 2014 pentru aprobarea criteriilor minime de pregătire şi perfecţionare a personalului navigant maritim român şi a sistemului de recunoaştere a brevetelor şi a certificatelor de capacitate</w:t>
      </w:r>
    </w:p>
    <w:p w:rsidR="00D17F3E" w:rsidRPr="00153C77" w:rsidRDefault="00D17F3E" w:rsidP="00D17F3E">
      <w:pPr>
        <w:autoSpaceDE w:val="0"/>
        <w:autoSpaceDN w:val="0"/>
        <w:adjustRightInd w:val="0"/>
        <w:ind w:right="431" w:firstLine="708"/>
      </w:pPr>
      <w:r w:rsidRPr="00153C77">
        <w:rPr>
          <w:rFonts w:eastAsia="SimSun"/>
          <w:lang w:eastAsia="zh-CN"/>
        </w:rPr>
        <w:t xml:space="preserve">România a devenit membră a </w:t>
      </w:r>
      <w:r w:rsidRPr="00153C77">
        <w:rPr>
          <w:rFonts w:eastAsia="SimSun"/>
          <w:lang w:eastAsia="zh-CN"/>
        </w:rPr>
        <w:t xml:space="preserve">Organizației Maritime Internaționale </w:t>
      </w:r>
      <w:r w:rsidR="00C73094" w:rsidRPr="00153C77">
        <w:rPr>
          <w:rFonts w:eastAsia="SimSun"/>
          <w:lang w:eastAsia="zh-CN"/>
        </w:rPr>
        <w:t xml:space="preserve">(OMI) </w:t>
      </w:r>
      <w:r w:rsidRPr="00153C77">
        <w:rPr>
          <w:rFonts w:eastAsia="SimSun"/>
          <w:lang w:eastAsia="zh-CN"/>
        </w:rPr>
        <w:t xml:space="preserve">prin Decretul nr. 114/1965 şi este parte la toate convenţiile </w:t>
      </w:r>
      <w:r w:rsidRPr="00153C77">
        <w:rPr>
          <w:rFonts w:eastAsia="SimSun"/>
          <w:lang w:eastAsia="zh-CN"/>
        </w:rPr>
        <w:t>adoptate în cadrul acestei organizații</w:t>
      </w:r>
      <w:r w:rsidRPr="00153C77">
        <w:rPr>
          <w:rFonts w:eastAsia="SimSun"/>
          <w:lang w:eastAsia="zh-CN"/>
        </w:rPr>
        <w:t xml:space="preserve"> privind siguranţa navigaţiei şi prevenirea poluării de către navele ma</w:t>
      </w:r>
      <w:r w:rsidRPr="00153C77">
        <w:rPr>
          <w:rFonts w:eastAsia="SimSun"/>
          <w:lang w:eastAsia="zh-CN"/>
        </w:rPr>
        <w:t>ritime, incluzând</w:t>
      </w:r>
      <w:r w:rsidRPr="00153C77">
        <w:rPr>
          <w:rFonts w:eastAsia="SimSun"/>
          <w:lang w:eastAsia="zh-CN"/>
        </w:rPr>
        <w:t xml:space="preserve"> Convenţi</w:t>
      </w:r>
      <w:r w:rsidRPr="00153C77">
        <w:rPr>
          <w:rFonts w:eastAsia="SimSun"/>
          <w:lang w:eastAsia="zh-CN"/>
        </w:rPr>
        <w:t>a</w:t>
      </w:r>
      <w:r w:rsidRPr="00153C77">
        <w:rPr>
          <w:rFonts w:eastAsia="SimSun"/>
          <w:lang w:eastAsia="zh-CN"/>
        </w:rPr>
        <w:t xml:space="preserve"> </w:t>
      </w:r>
      <w:r w:rsidRPr="00153C77">
        <w:t>internaţional</w:t>
      </w:r>
      <w:r w:rsidRPr="00153C77">
        <w:t>ă</w:t>
      </w:r>
      <w:r w:rsidRPr="00153C77">
        <w:t xml:space="preserve"> privind standardele de pregătire a navigatorilor, brevetare/atestare şi efectuare a serviciului de cart (STCW 1978), cu amendamentele ulterioare.</w:t>
      </w:r>
    </w:p>
    <w:p w:rsidR="00153C77" w:rsidRDefault="0004529D" w:rsidP="0004529D">
      <w:pPr>
        <w:autoSpaceDE w:val="0"/>
        <w:autoSpaceDN w:val="0"/>
        <w:adjustRightInd w:val="0"/>
        <w:ind w:right="431" w:firstLine="708"/>
        <w:rPr>
          <w:rFonts w:eastAsia="SimSun"/>
          <w:lang w:eastAsia="zh-CN"/>
        </w:rPr>
      </w:pPr>
      <w:r w:rsidRPr="00153C77">
        <w:rPr>
          <w:rFonts w:eastAsia="SimSun"/>
          <w:lang w:eastAsia="zh-CN"/>
        </w:rPr>
        <w:t>România a</w:t>
      </w:r>
      <w:r w:rsidRPr="00153C77">
        <w:rPr>
          <w:rFonts w:eastAsia="SimSun"/>
          <w:lang w:eastAsia="zh-CN"/>
        </w:rPr>
        <w:t xml:space="preserve"> aderat la </w:t>
      </w:r>
      <w:r w:rsidRPr="00153C77">
        <w:rPr>
          <w:rFonts w:eastAsia="SimSun"/>
          <w:lang w:eastAsia="zh-CN"/>
        </w:rPr>
        <w:t>Convenţi</w:t>
      </w:r>
      <w:r w:rsidRPr="00153C77">
        <w:rPr>
          <w:rFonts w:eastAsia="SimSun"/>
          <w:lang w:eastAsia="zh-CN"/>
        </w:rPr>
        <w:t>a</w:t>
      </w:r>
      <w:r w:rsidRPr="00153C77">
        <w:rPr>
          <w:rFonts w:eastAsia="SimSun"/>
          <w:lang w:eastAsia="zh-CN"/>
        </w:rPr>
        <w:t xml:space="preserve"> STCW 1978 prin </w:t>
      </w:r>
      <w:r w:rsidRPr="00153C77">
        <w:rPr>
          <w:rFonts w:eastAsia="SimSun"/>
          <w:lang w:eastAsia="zh-CN"/>
        </w:rPr>
        <w:t>Legea</w:t>
      </w:r>
      <w:r w:rsidRPr="00153C77">
        <w:rPr>
          <w:rFonts w:eastAsia="SimSun"/>
          <w:lang w:eastAsia="zh-CN"/>
        </w:rPr>
        <w:t xml:space="preserve"> nr. 107/1992</w:t>
      </w:r>
      <w:r w:rsidRPr="00153C77">
        <w:rPr>
          <w:rFonts w:eastAsia="SimSun"/>
          <w:lang w:eastAsia="zh-CN"/>
        </w:rPr>
        <w:t xml:space="preserve">. </w:t>
      </w:r>
    </w:p>
    <w:p w:rsidR="00153C77" w:rsidRPr="00153C77" w:rsidRDefault="00153C77" w:rsidP="0004529D">
      <w:pPr>
        <w:autoSpaceDE w:val="0"/>
        <w:autoSpaceDN w:val="0"/>
        <w:adjustRightInd w:val="0"/>
        <w:ind w:right="431" w:firstLine="708"/>
        <w:rPr>
          <w:rFonts w:eastAsia="SimSun"/>
          <w:b/>
          <w:lang w:eastAsia="zh-CN"/>
        </w:rPr>
      </w:pPr>
      <w:r w:rsidRPr="00153C77">
        <w:rPr>
          <w:rFonts w:eastAsia="SimSun"/>
          <w:lang w:eastAsia="zh-CN"/>
        </w:rPr>
        <w:t>Totodată, prin Ordonanța Guvernului nr. 122/2010</w:t>
      </w:r>
      <w:r w:rsidRPr="00153C77">
        <w:rPr>
          <w:rStyle w:val="Header"/>
          <w:rFonts w:cs="Arial"/>
        </w:rPr>
        <w:t xml:space="preserve"> au fost acceptate </w:t>
      </w:r>
      <w:r w:rsidRPr="00153C77">
        <w:rPr>
          <w:rStyle w:val="l5tlu1"/>
          <w:rFonts w:cs="Arial"/>
          <w:b w:val="0"/>
          <w:sz w:val="22"/>
          <w:szCs w:val="22"/>
        </w:rPr>
        <w:t>amendamentel</w:t>
      </w:r>
      <w:r w:rsidRPr="00153C77">
        <w:rPr>
          <w:rStyle w:val="l5tlu1"/>
          <w:rFonts w:cs="Arial"/>
          <w:b w:val="0"/>
          <w:sz w:val="22"/>
          <w:szCs w:val="22"/>
        </w:rPr>
        <w:t>e</w:t>
      </w:r>
      <w:r w:rsidRPr="00153C77">
        <w:rPr>
          <w:rStyle w:val="l5tlu1"/>
          <w:rFonts w:cs="Arial"/>
          <w:b w:val="0"/>
          <w:sz w:val="22"/>
          <w:szCs w:val="22"/>
        </w:rPr>
        <w:t xml:space="preserve"> la anexa la Convenţia internaţională privind standardele de pregătire a navigatorilor, brevetare/atestare şi efectuare a serviciului de cart, adoptată la Londra la 7 iulie 1978 (STCW 1978), şi a Codului privind pregătirea, brevetarea/atestarea şi efectuarea serviciului de cart (Codul STCW), adoptate prin Actul final al Conferinţei părţilor la această convenţie la Londra la 7 iulie 1995, precum şi a amendamentelor ulterioare, adoptate prin rezoluţii ale Comitetului Securităţii Maritime al Organizaţiei Maritime Internaţionale</w:t>
      </w:r>
      <w:r w:rsidRPr="00153C77">
        <w:rPr>
          <w:rFonts w:cs="Arial"/>
          <w:b/>
          <w:bCs/>
        </w:rPr>
        <w:t> </w:t>
      </w:r>
    </w:p>
    <w:p w:rsidR="00C73094" w:rsidRDefault="0004529D" w:rsidP="0004529D">
      <w:pPr>
        <w:autoSpaceDE w:val="0"/>
        <w:autoSpaceDN w:val="0"/>
        <w:adjustRightInd w:val="0"/>
        <w:ind w:right="431" w:firstLine="708"/>
      </w:pPr>
      <w:r>
        <w:rPr>
          <w:rFonts w:eastAsia="SimSun"/>
          <w:lang w:eastAsia="zh-CN"/>
        </w:rPr>
        <w:t xml:space="preserve">Având în vedere prevederile art. XII </w:t>
      </w:r>
      <w:r>
        <w:rPr>
          <w:rFonts w:eastAsia="SimSun"/>
          <w:lang w:eastAsia="zh-CN"/>
        </w:rPr>
        <w:t xml:space="preserve">la </w:t>
      </w:r>
      <w:r w:rsidRPr="00D17F3E">
        <w:rPr>
          <w:rFonts w:eastAsia="SimSun"/>
          <w:lang w:eastAsia="zh-CN"/>
        </w:rPr>
        <w:t>Convenţi</w:t>
      </w:r>
      <w:r>
        <w:rPr>
          <w:rFonts w:eastAsia="SimSun"/>
          <w:lang w:eastAsia="zh-CN"/>
        </w:rPr>
        <w:t>a</w:t>
      </w:r>
      <w:r w:rsidRPr="00D17F3E">
        <w:rPr>
          <w:rFonts w:eastAsia="SimSun"/>
          <w:lang w:eastAsia="zh-CN"/>
        </w:rPr>
        <w:t xml:space="preserve"> STCW 1978</w:t>
      </w:r>
      <w:r>
        <w:rPr>
          <w:rFonts w:eastAsia="SimSun"/>
          <w:lang w:eastAsia="zh-CN"/>
        </w:rPr>
        <w:t>,</w:t>
      </w:r>
      <w:r>
        <w:t xml:space="preserve"> prin</w:t>
      </w:r>
      <w:r w:rsidR="00D17F3E" w:rsidRPr="00D17F3E">
        <w:rPr>
          <w:rFonts w:eastAsia="SimSun"/>
          <w:lang w:eastAsia="ro-RO"/>
        </w:rPr>
        <w:t xml:space="preserve"> </w:t>
      </w:r>
      <w:r w:rsidR="00D17F3E" w:rsidRPr="00D17F3E">
        <w:t xml:space="preserve">Ordinul ministrului transporturilor și infrastructurii nr. 49/2012 </w:t>
      </w:r>
      <w:r w:rsidR="00C73094">
        <w:t>s-a</w:t>
      </w:r>
      <w:r w:rsidR="00D17F3E" w:rsidRPr="00D17F3E">
        <w:t xml:space="preserve"> publica</w:t>
      </w:r>
      <w:r w:rsidR="00C73094">
        <w:t>t</w:t>
      </w:r>
      <w:r w:rsidR="00D17F3E" w:rsidRPr="00D17F3E">
        <w:t xml:space="preserve"> accept</w:t>
      </w:r>
      <w:r w:rsidR="00C73094">
        <w:t>area</w:t>
      </w:r>
      <w:r w:rsidR="00D17F3E" w:rsidRPr="00D17F3E">
        <w:t xml:space="preserve"> amendamentelor de la Manila la Anexa la Convenţia internaţională privind standardele de pregătire a navigatorilor, brevetare/atestare şi efectuare a serviciului de cart, precum şi la Codul privind pregătirea, brevetarea/atestarea şi efectuarea serviciului de cart (Codul STCW)</w:t>
      </w:r>
      <w:r w:rsidR="00C73094">
        <w:t>.</w:t>
      </w:r>
    </w:p>
    <w:p w:rsidR="003D6DCA" w:rsidRDefault="003D6DCA" w:rsidP="00D17F3E">
      <w:pPr>
        <w:tabs>
          <w:tab w:val="left" w:pos="798"/>
          <w:tab w:val="left" w:pos="851"/>
        </w:tabs>
        <w:ind w:right="431"/>
        <w:rPr>
          <w:rFonts w:eastAsia="SimSun"/>
        </w:rPr>
      </w:pPr>
      <w:r>
        <w:rPr>
          <w:rFonts w:eastAsia="SimSun"/>
        </w:rPr>
        <w:tab/>
        <w:t xml:space="preserve">Prin măsurile luate la nivelul </w:t>
      </w:r>
      <w:r>
        <w:t>Uniunii Europene</w:t>
      </w:r>
      <w:r>
        <w:t>, respectiv</w:t>
      </w:r>
      <w:r w:rsidRPr="00C73094">
        <w:t xml:space="preserve"> </w:t>
      </w:r>
      <w:r w:rsidR="00D17F3E" w:rsidRPr="00D17F3E">
        <w:rPr>
          <w:rFonts w:eastAsia="SimSun"/>
        </w:rPr>
        <w:t>Directiv</w:t>
      </w:r>
      <w:r>
        <w:rPr>
          <w:rFonts w:eastAsia="SimSun"/>
        </w:rPr>
        <w:t>a</w:t>
      </w:r>
      <w:r w:rsidR="00D17F3E" w:rsidRPr="00D17F3E">
        <w:rPr>
          <w:rFonts w:eastAsia="SimSun"/>
        </w:rPr>
        <w:t xml:space="preserve"> 2008/106/CE a Parlamentului European şi a Consiliului din 19 noiembrie 2008 privind nivelul minim de pregătire a navigatorilor (reformare), astfel cum a fost modificată prin Directiva 2012/35/CE a Parlamentului European şi a Consiliului din 21 noiembrie 2012,</w:t>
      </w:r>
      <w:r>
        <w:rPr>
          <w:rFonts w:eastAsia="SimSun"/>
        </w:rPr>
        <w:t xml:space="preserve"> se asigură aplicarea simultană și uniformă în statele membre a Convenției STCW 1978, astfel cum a fost amendată. </w:t>
      </w:r>
    </w:p>
    <w:p w:rsidR="003D6DCA" w:rsidRPr="003D6DCA" w:rsidRDefault="003D6DCA" w:rsidP="003D6DCA">
      <w:pPr>
        <w:tabs>
          <w:tab w:val="left" w:pos="798"/>
          <w:tab w:val="left" w:pos="851"/>
        </w:tabs>
        <w:ind w:right="431"/>
        <w:rPr>
          <w:rFonts w:eastAsia="SimSun"/>
        </w:rPr>
      </w:pPr>
      <w:r>
        <w:rPr>
          <w:rFonts w:eastAsia="SimSun"/>
        </w:rPr>
        <w:lastRenderedPageBreak/>
        <w:tab/>
        <w:t>Prevederile Directivei 2008/106/CE, astfel cum a fost amendată</w:t>
      </w:r>
      <w:r w:rsidR="003656A6">
        <w:rPr>
          <w:rFonts w:eastAsia="SimSun"/>
        </w:rPr>
        <w:t>,</w:t>
      </w:r>
      <w:r>
        <w:rPr>
          <w:rFonts w:eastAsia="SimSun"/>
        </w:rPr>
        <w:t xml:space="preserve"> au fost transpuse prin </w:t>
      </w:r>
      <w:r>
        <w:t xml:space="preserve">OMT </w:t>
      </w:r>
      <w:r w:rsidRPr="003D6DCA">
        <w:t>nr. 1252/ 2014 pentru aprobarea criteriilor minime de pregătire şi perfecţionare a personalului navigant maritim român şi a sistemului de recunoaştere a brevetelor şi a certificatelor de capacitate</w:t>
      </w:r>
      <w:r w:rsidR="003656A6">
        <w:t>.</w:t>
      </w:r>
    </w:p>
    <w:p w:rsidR="00D17F3E" w:rsidRPr="00153C77" w:rsidRDefault="003656A6" w:rsidP="00153C77">
      <w:pPr>
        <w:tabs>
          <w:tab w:val="left" w:pos="798"/>
          <w:tab w:val="left" w:pos="851"/>
        </w:tabs>
        <w:ind w:right="431"/>
        <w:rPr>
          <w:rFonts w:eastAsia="Calibri"/>
          <w:i/>
        </w:rPr>
      </w:pPr>
      <w:r>
        <w:rPr>
          <w:rFonts w:eastAsia="SimSun"/>
        </w:rPr>
        <w:tab/>
      </w:r>
      <w:r w:rsidR="00D17F3E" w:rsidRPr="00D17F3E">
        <w:rPr>
          <w:rFonts w:eastAsia="Calibri"/>
        </w:rPr>
        <w:t>În conformitate cu prevederile</w:t>
      </w:r>
      <w:r w:rsidR="00153C77">
        <w:rPr>
          <w:rFonts w:eastAsia="Calibri"/>
        </w:rPr>
        <w:t xml:space="preserve"> </w:t>
      </w:r>
      <w:r w:rsidR="00D17F3E" w:rsidRPr="00D17F3E">
        <w:rPr>
          <w:rFonts w:eastAsia="Calibri"/>
        </w:rPr>
        <w:t>Reg</w:t>
      </w:r>
      <w:r w:rsidR="00153C77">
        <w:rPr>
          <w:rFonts w:eastAsia="Calibri"/>
        </w:rPr>
        <w:t>lementării</w:t>
      </w:r>
      <w:r w:rsidR="00D17F3E" w:rsidRPr="00D17F3E">
        <w:rPr>
          <w:rFonts w:eastAsia="Calibri"/>
        </w:rPr>
        <w:t xml:space="preserve"> I/7 </w:t>
      </w:r>
      <w:r w:rsidR="00153C77">
        <w:rPr>
          <w:rFonts w:eastAsia="Calibri"/>
        </w:rPr>
        <w:t xml:space="preserve">– ”Comunicarea informațiilor” </w:t>
      </w:r>
      <w:r w:rsidR="00D17F3E" w:rsidRPr="00D17F3E">
        <w:rPr>
          <w:rFonts w:eastAsia="Calibri"/>
        </w:rPr>
        <w:t xml:space="preserve">din </w:t>
      </w:r>
      <w:r w:rsidR="00153C77">
        <w:rPr>
          <w:rFonts w:eastAsia="Calibri"/>
        </w:rPr>
        <w:t xml:space="preserve">anexa la </w:t>
      </w:r>
      <w:r w:rsidR="00D17F3E" w:rsidRPr="00D17F3E">
        <w:rPr>
          <w:rFonts w:eastAsia="Calibri"/>
        </w:rPr>
        <w:t>Convenţia STCW</w:t>
      </w:r>
      <w:r w:rsidR="00153C77">
        <w:rPr>
          <w:rFonts w:eastAsia="Calibri"/>
        </w:rPr>
        <w:t xml:space="preserve"> 1978</w:t>
      </w:r>
      <w:r w:rsidR="00D17F3E" w:rsidRPr="00D17F3E">
        <w:rPr>
          <w:rFonts w:eastAsia="Calibri"/>
        </w:rPr>
        <w:t xml:space="preserve">, </w:t>
      </w:r>
      <w:r w:rsidR="00153C77" w:rsidRPr="00153C77">
        <w:rPr>
          <w:rFonts w:eastAsia="Calibri"/>
          <w:i/>
        </w:rPr>
        <w:t>”…</w:t>
      </w:r>
      <w:r w:rsidR="00153C77" w:rsidRPr="00153C77">
        <w:rPr>
          <w:rStyle w:val="l5def1"/>
          <w:rFonts w:ascii="Trebuchet MS" w:hAnsi="Trebuchet MS"/>
          <w:i/>
          <w:sz w:val="22"/>
          <w:szCs w:val="22"/>
        </w:rPr>
        <w:t>fiecare Stat-parte va furniza Secretarului General, în cadrul perioadelor prescrise de timp şi în forma specificată în Secţiunea A-I/7 din C</w:t>
      </w:r>
      <w:r w:rsidR="006A27C4">
        <w:rPr>
          <w:rStyle w:val="l5def1"/>
          <w:rFonts w:ascii="Trebuchet MS" w:hAnsi="Trebuchet MS"/>
          <w:i/>
          <w:sz w:val="22"/>
          <w:szCs w:val="22"/>
        </w:rPr>
        <w:t>odul</w:t>
      </w:r>
      <w:r w:rsidR="00153C77" w:rsidRPr="00153C77">
        <w:rPr>
          <w:rStyle w:val="l5def1"/>
          <w:rFonts w:ascii="Trebuchet MS" w:hAnsi="Trebuchet MS"/>
          <w:i/>
          <w:sz w:val="22"/>
          <w:szCs w:val="22"/>
        </w:rPr>
        <w:t xml:space="preserve"> STCW, alte informaţii care pot fi cerute prin cod privind alte demersuri întreprinse de Statul-parte pentru a conferi Convenţiei efect deplin şi complet.</w:t>
      </w:r>
      <w:r w:rsidR="00153C77" w:rsidRPr="00153C77">
        <w:rPr>
          <w:rStyle w:val="l5def1"/>
          <w:rFonts w:ascii="Trebuchet MS" w:hAnsi="Trebuchet MS"/>
          <w:i/>
          <w:sz w:val="22"/>
          <w:szCs w:val="22"/>
        </w:rPr>
        <w:t>”</w:t>
      </w:r>
      <w:r w:rsidR="00153C77" w:rsidRPr="00153C77">
        <w:rPr>
          <w:rFonts w:cs="Arial"/>
          <w:i/>
        </w:rPr>
        <w:t xml:space="preserve">  </w:t>
      </w:r>
    </w:p>
    <w:p w:rsidR="00207E4C" w:rsidRPr="00207E4C" w:rsidRDefault="00D17F3E" w:rsidP="00D17F3E">
      <w:pPr>
        <w:spacing w:line="259" w:lineRule="auto"/>
        <w:ind w:right="431" w:firstLine="720"/>
        <w:rPr>
          <w:rFonts w:asciiTheme="majorHAnsi" w:eastAsia="Calibri" w:hAnsiTheme="majorHAnsi"/>
          <w:i/>
        </w:rPr>
      </w:pPr>
      <w:r w:rsidRPr="00D17F3E">
        <w:rPr>
          <w:rFonts w:eastAsia="Calibri"/>
        </w:rPr>
        <w:t>De asemenea, conform prevederilor Reg</w:t>
      </w:r>
      <w:r w:rsidR="00153C77">
        <w:rPr>
          <w:rFonts w:eastAsia="Calibri"/>
        </w:rPr>
        <w:t>lementării</w:t>
      </w:r>
      <w:r w:rsidRPr="00D17F3E">
        <w:rPr>
          <w:rFonts w:eastAsia="Calibri"/>
        </w:rPr>
        <w:t xml:space="preserve"> I/8 – </w:t>
      </w:r>
      <w:r w:rsidR="00153C77">
        <w:rPr>
          <w:rFonts w:eastAsia="Calibri"/>
        </w:rPr>
        <w:t>”</w:t>
      </w:r>
      <w:r w:rsidRPr="00D17F3E">
        <w:rPr>
          <w:rFonts w:eastAsia="Calibri"/>
        </w:rPr>
        <w:t>Standarde de calitate</w:t>
      </w:r>
      <w:r w:rsidR="00153C77">
        <w:rPr>
          <w:rFonts w:eastAsia="Calibri"/>
        </w:rPr>
        <w:t>”</w:t>
      </w:r>
      <w:r w:rsidR="00207E4C">
        <w:rPr>
          <w:rFonts w:eastAsia="Calibri"/>
        </w:rPr>
        <w:t xml:space="preserve"> </w:t>
      </w:r>
      <w:r w:rsidR="00207E4C" w:rsidRPr="00207E4C">
        <w:rPr>
          <w:rFonts w:asciiTheme="majorHAnsi" w:eastAsia="Calibri" w:hAnsiTheme="majorHAnsi"/>
          <w:i/>
        </w:rPr>
        <w:t>:”…</w:t>
      </w:r>
      <w:r w:rsidR="00207E4C" w:rsidRPr="00207E4C">
        <w:rPr>
          <w:rStyle w:val="l5def1"/>
          <w:rFonts w:asciiTheme="majorHAnsi" w:hAnsiTheme="majorHAnsi"/>
          <w:i/>
          <w:sz w:val="22"/>
          <w:szCs w:val="22"/>
        </w:rPr>
        <w:t>toate activităţile de pregătire, evaluare a competenţei, certificare, confirmare şi reconfirmare executate de Agenţii sau instituţii neguvernamentale de sub autoritatea sa sunt permanent monitorizate printr-un sistem de standarde de calitate care să asigure atingerea obiectivelor formulate</w:t>
      </w:r>
      <w:r w:rsidR="00207E4C" w:rsidRPr="00207E4C">
        <w:rPr>
          <w:rStyle w:val="l5def1"/>
          <w:rFonts w:asciiTheme="majorHAnsi" w:hAnsiTheme="majorHAnsi"/>
          <w:i/>
          <w:sz w:val="22"/>
          <w:szCs w:val="22"/>
        </w:rPr>
        <w:t>”</w:t>
      </w:r>
      <w:r w:rsidR="006A27C4">
        <w:rPr>
          <w:rStyle w:val="l5def1"/>
          <w:rFonts w:asciiTheme="majorHAnsi" w:hAnsiTheme="majorHAnsi"/>
          <w:i/>
          <w:sz w:val="22"/>
          <w:szCs w:val="22"/>
        </w:rPr>
        <w:t>.</w:t>
      </w:r>
    </w:p>
    <w:p w:rsidR="00D17F3E" w:rsidRPr="00D17F3E" w:rsidRDefault="00D17F3E" w:rsidP="00D17F3E">
      <w:pPr>
        <w:spacing w:line="259" w:lineRule="auto"/>
        <w:ind w:right="431" w:firstLine="720"/>
        <w:rPr>
          <w:rFonts w:eastAsia="Calibri"/>
        </w:rPr>
      </w:pPr>
      <w:r w:rsidRPr="00D17F3E">
        <w:rPr>
          <w:rFonts w:eastAsia="Calibri"/>
        </w:rPr>
        <w:t xml:space="preserve">Când un raport </w:t>
      </w:r>
      <w:r w:rsidR="00207E4C">
        <w:rPr>
          <w:rFonts w:eastAsia="Calibri"/>
        </w:rPr>
        <w:t xml:space="preserve">de evaluare </w:t>
      </w:r>
      <w:r w:rsidRPr="00D17F3E">
        <w:rPr>
          <w:rFonts w:eastAsia="Calibri"/>
        </w:rPr>
        <w:t xml:space="preserve">este primit de la orice Stat-parte în conformitate cu reglementarea I/8, paragraful 3, Secretarul General va desemna persoane competente care să examineze raportul şi să ofere opiniile lor cu privire la orice măsuri luate pentru punerea în aplicare a amendamentelor la </w:t>
      </w:r>
      <w:r w:rsidR="00207E4C">
        <w:rPr>
          <w:rFonts w:eastAsia="Calibri"/>
        </w:rPr>
        <w:t xml:space="preserve">anexa la </w:t>
      </w:r>
      <w:r w:rsidRPr="00D17F3E">
        <w:rPr>
          <w:rFonts w:eastAsia="Calibri"/>
        </w:rPr>
        <w:t xml:space="preserve">Convenţia STCW </w:t>
      </w:r>
      <w:r w:rsidR="00207E4C">
        <w:rPr>
          <w:rFonts w:eastAsia="Calibri"/>
        </w:rPr>
        <w:t xml:space="preserve">1978 </w:t>
      </w:r>
      <w:r w:rsidRPr="00D17F3E">
        <w:rPr>
          <w:rFonts w:eastAsia="Calibri"/>
        </w:rPr>
        <w:t xml:space="preserve">şi </w:t>
      </w:r>
      <w:r w:rsidR="006A27C4">
        <w:rPr>
          <w:rFonts w:eastAsia="Calibri"/>
        </w:rPr>
        <w:t>la</w:t>
      </w:r>
      <w:r w:rsidRPr="00D17F3E">
        <w:rPr>
          <w:rFonts w:eastAsia="Calibri"/>
        </w:rPr>
        <w:t xml:space="preserve"> Codul</w:t>
      </w:r>
      <w:r w:rsidR="006A27C4">
        <w:rPr>
          <w:rFonts w:eastAsia="Calibri"/>
        </w:rPr>
        <w:t xml:space="preserve"> STCW</w:t>
      </w:r>
      <w:r w:rsidRPr="00D17F3E">
        <w:rPr>
          <w:rFonts w:eastAsia="Calibri"/>
        </w:rPr>
        <w:t>.</w:t>
      </w:r>
    </w:p>
    <w:p w:rsidR="00D17F3E" w:rsidRPr="00D17F3E" w:rsidRDefault="00D17F3E" w:rsidP="00D17F3E">
      <w:pPr>
        <w:spacing w:line="259" w:lineRule="auto"/>
        <w:ind w:right="431" w:firstLine="720"/>
        <w:rPr>
          <w:rFonts w:eastAsia="Calibri"/>
        </w:rPr>
      </w:pPr>
      <w:r w:rsidRPr="00D17F3E">
        <w:rPr>
          <w:rFonts w:eastAsia="Calibri"/>
        </w:rPr>
        <w:t xml:space="preserve">România a transmis dosarul complet privind </w:t>
      </w:r>
      <w:r w:rsidR="006A27C4">
        <w:rPr>
          <w:rFonts w:eastAsia="Calibri"/>
        </w:rPr>
        <w:t>”</w:t>
      </w:r>
      <w:r w:rsidRPr="00D17F3E">
        <w:rPr>
          <w:rFonts w:eastAsia="Calibri"/>
        </w:rPr>
        <w:t xml:space="preserve">Comunicarea </w:t>
      </w:r>
      <w:r w:rsidR="006A27C4">
        <w:rPr>
          <w:rFonts w:eastAsia="Calibri"/>
        </w:rPr>
        <w:t>i</w:t>
      </w:r>
      <w:r w:rsidRPr="00D17F3E">
        <w:rPr>
          <w:rFonts w:eastAsia="Calibri"/>
        </w:rPr>
        <w:t>nformaţiilor</w:t>
      </w:r>
      <w:r w:rsidR="006A27C4">
        <w:rPr>
          <w:rFonts w:eastAsia="Calibri"/>
        </w:rPr>
        <w:t>”</w:t>
      </w:r>
      <w:r w:rsidRPr="00D17F3E">
        <w:rPr>
          <w:rFonts w:eastAsia="Calibri"/>
        </w:rPr>
        <w:t xml:space="preserve"> către Secretar</w:t>
      </w:r>
      <w:r w:rsidR="006A27C4">
        <w:rPr>
          <w:rFonts w:eastAsia="Calibri"/>
        </w:rPr>
        <w:t>ul</w:t>
      </w:r>
      <w:r w:rsidRPr="00D17F3E">
        <w:rPr>
          <w:rFonts w:eastAsia="Calibri"/>
        </w:rPr>
        <w:t xml:space="preserve"> General al IMO şi se află în proces de verificare.</w:t>
      </w:r>
    </w:p>
    <w:p w:rsidR="00D17F3E" w:rsidRPr="006A27C4" w:rsidRDefault="006A27C4" w:rsidP="00D17F3E">
      <w:pPr>
        <w:spacing w:line="259" w:lineRule="auto"/>
        <w:ind w:right="431" w:firstLine="720"/>
        <w:rPr>
          <w:rFonts w:eastAsia="Calibri"/>
        </w:rPr>
      </w:pPr>
      <w:r>
        <w:rPr>
          <w:rFonts w:eastAsia="Calibri"/>
        </w:rPr>
        <w:t>Totuși, un</w:t>
      </w:r>
      <w:r w:rsidR="00D17F3E" w:rsidRPr="00D17F3E">
        <w:rPr>
          <w:rFonts w:eastAsia="Calibri"/>
        </w:rPr>
        <w:t xml:space="preserve"> </w:t>
      </w:r>
      <w:bookmarkStart w:id="0" w:name="_Hlk10193512"/>
      <w:r w:rsidR="00D17F3E" w:rsidRPr="00D17F3E">
        <w:rPr>
          <w:rFonts w:eastAsia="Calibri"/>
        </w:rPr>
        <w:t xml:space="preserve">raport privind consideraţii iniţiale </w:t>
      </w:r>
      <w:r>
        <w:rPr>
          <w:rFonts w:eastAsia="Calibri"/>
        </w:rPr>
        <w:t xml:space="preserve">a fost </w:t>
      </w:r>
      <w:r w:rsidR="00D17F3E" w:rsidRPr="00D17F3E">
        <w:rPr>
          <w:rFonts w:eastAsia="Calibri"/>
        </w:rPr>
        <w:t>întocmit de către persoanele competente desemnate</w:t>
      </w:r>
      <w:bookmarkEnd w:id="0"/>
      <w:r>
        <w:rPr>
          <w:rFonts w:eastAsia="Calibri"/>
        </w:rPr>
        <w:t xml:space="preserve"> de </w:t>
      </w:r>
      <w:r w:rsidRPr="00D17F3E">
        <w:rPr>
          <w:rFonts w:eastAsia="Calibri"/>
        </w:rPr>
        <w:t>Secretar</w:t>
      </w:r>
      <w:r>
        <w:rPr>
          <w:rFonts w:eastAsia="Calibri"/>
        </w:rPr>
        <w:t>ul</w:t>
      </w:r>
      <w:r w:rsidRPr="00D17F3E">
        <w:rPr>
          <w:rFonts w:eastAsia="Calibri"/>
        </w:rPr>
        <w:t xml:space="preserve"> General al IMO</w:t>
      </w:r>
      <w:r w:rsidR="00D17F3E" w:rsidRPr="00D17F3E">
        <w:rPr>
          <w:rFonts w:eastAsia="Calibri"/>
        </w:rPr>
        <w:t xml:space="preserve">, </w:t>
      </w:r>
      <w:r>
        <w:rPr>
          <w:rFonts w:eastAsia="Calibri"/>
        </w:rPr>
        <w:t>fiind</w:t>
      </w:r>
      <w:r w:rsidR="00D17F3E" w:rsidRPr="00D17F3E">
        <w:rPr>
          <w:rFonts w:eastAsia="Calibri"/>
        </w:rPr>
        <w:t xml:space="preserve"> semnalate o serie de neclarităţi în cuprinsul Ordinului </w:t>
      </w:r>
      <w:r w:rsidR="00D17F3E" w:rsidRPr="00D17F3E">
        <w:t xml:space="preserve">ministrului </w:t>
      </w:r>
      <w:r w:rsidR="00D17F3E" w:rsidRPr="006A27C4">
        <w:t>transporturilor nr. 1252/2014 pentru aprobarea criteriilor minime de pregătire şi perfecţionare a personalului navigant maritim român şi a sistemului de recunoaştere a brevetelor şi a certificatelor de capacitate.</w:t>
      </w:r>
    </w:p>
    <w:p w:rsidR="00C56693" w:rsidRDefault="00D17F3E" w:rsidP="00D17F3E">
      <w:pPr>
        <w:spacing w:line="259" w:lineRule="auto"/>
        <w:ind w:right="431" w:firstLine="720"/>
        <w:rPr>
          <w:rFonts w:eastAsia="Calibri"/>
        </w:rPr>
      </w:pPr>
      <w:r w:rsidRPr="00D17F3E">
        <w:rPr>
          <w:rFonts w:eastAsia="Calibri"/>
        </w:rPr>
        <w:t xml:space="preserve">Neclarităţile </w:t>
      </w:r>
      <w:r w:rsidR="00C56693">
        <w:rPr>
          <w:rFonts w:eastAsia="Calibri"/>
        </w:rPr>
        <w:t>identificate</w:t>
      </w:r>
      <w:r w:rsidRPr="00D17F3E">
        <w:rPr>
          <w:rFonts w:eastAsia="Calibri"/>
        </w:rPr>
        <w:t xml:space="preserve"> sunt oportune şi adecvate şi</w:t>
      </w:r>
      <w:r w:rsidR="00C56693">
        <w:rPr>
          <w:rFonts w:eastAsia="Calibri"/>
        </w:rPr>
        <w:t>, corespunzător, sunt formulate propuneri de modificare</w:t>
      </w:r>
      <w:r w:rsidRPr="00D17F3E">
        <w:rPr>
          <w:rFonts w:eastAsia="Calibri"/>
        </w:rPr>
        <w:t xml:space="preserve"> </w:t>
      </w:r>
      <w:r w:rsidR="00C56693">
        <w:rPr>
          <w:rFonts w:eastAsia="Calibri"/>
        </w:rPr>
        <w:t>a OMT nr. 1252/2014.</w:t>
      </w:r>
    </w:p>
    <w:p w:rsidR="00C56693" w:rsidRPr="00C56693" w:rsidRDefault="00C56693" w:rsidP="00D17F3E">
      <w:pPr>
        <w:spacing w:line="259" w:lineRule="auto"/>
        <w:ind w:right="431" w:firstLine="720"/>
        <w:rPr>
          <w:rStyle w:val="l5def1"/>
          <w:rFonts w:ascii="Trebuchet MS" w:hAnsi="Trebuchet MS"/>
          <w:sz w:val="22"/>
          <w:szCs w:val="22"/>
        </w:rPr>
      </w:pPr>
      <w:r>
        <w:rPr>
          <w:rFonts w:eastAsia="Calibri"/>
        </w:rPr>
        <w:t xml:space="preserve">Astfel că, anexa la </w:t>
      </w:r>
      <w:r w:rsidR="00D17F3E" w:rsidRPr="00D17F3E">
        <w:rPr>
          <w:rFonts w:eastAsia="Calibri"/>
        </w:rPr>
        <w:t xml:space="preserve">Convenția STCW </w:t>
      </w:r>
      <w:r>
        <w:rPr>
          <w:rFonts w:eastAsia="Calibri"/>
        </w:rPr>
        <w:t xml:space="preserve">1978 </w:t>
      </w:r>
      <w:r w:rsidR="00D17F3E" w:rsidRPr="00D17F3E">
        <w:rPr>
          <w:rFonts w:eastAsia="Calibri"/>
        </w:rPr>
        <w:t>cu amen</w:t>
      </w:r>
      <w:r>
        <w:rPr>
          <w:rFonts w:eastAsia="Calibri"/>
        </w:rPr>
        <w:t>damentele în vigoare recomandă S</w:t>
      </w:r>
      <w:r w:rsidR="00D17F3E" w:rsidRPr="00D17F3E">
        <w:rPr>
          <w:rFonts w:eastAsia="Calibri"/>
        </w:rPr>
        <w:t>tatelor</w:t>
      </w:r>
      <w:r w:rsidR="00223FFC">
        <w:rPr>
          <w:rFonts w:eastAsia="Calibri"/>
        </w:rPr>
        <w:t xml:space="preserve"> parte</w:t>
      </w:r>
      <w:r w:rsidR="00D17F3E" w:rsidRPr="00D17F3E">
        <w:rPr>
          <w:rFonts w:eastAsia="Calibri"/>
        </w:rPr>
        <w:t xml:space="preserve"> ca evaluarea competențelor, necesară certificării personalului navigant, să se facă pe simulatoare care pot asigura evaluarea competențelor în condiții speciale (avarii, incendii, condiții specifice de vreme), condiții care nu pot fi simulate în evaluarea practică prin alte metode, în conformitate cu Reg</w:t>
      </w:r>
      <w:r>
        <w:rPr>
          <w:rFonts w:eastAsia="Calibri"/>
        </w:rPr>
        <w:t>lementarea</w:t>
      </w:r>
      <w:r w:rsidR="00D17F3E" w:rsidRPr="00D17F3E">
        <w:rPr>
          <w:rFonts w:eastAsia="Calibri"/>
        </w:rPr>
        <w:t xml:space="preserve"> I/12 </w:t>
      </w:r>
      <w:r w:rsidRPr="00C56693">
        <w:rPr>
          <w:rFonts w:eastAsia="Calibri"/>
          <w:i/>
        </w:rPr>
        <w:t>”</w:t>
      </w:r>
      <w:r w:rsidR="00D17F3E" w:rsidRPr="00C56693">
        <w:rPr>
          <w:rFonts w:eastAsia="Calibri"/>
          <w:i/>
        </w:rPr>
        <w:t>Utilizarea simulatoarelor</w:t>
      </w:r>
      <w:r w:rsidRPr="00C56693">
        <w:rPr>
          <w:rFonts w:eastAsia="Calibri"/>
          <w:i/>
        </w:rPr>
        <w:t>”</w:t>
      </w:r>
      <w:r w:rsidRPr="00C56693">
        <w:rPr>
          <w:rFonts w:eastAsia="Calibri"/>
        </w:rPr>
        <w:t xml:space="preserve"> </w:t>
      </w:r>
      <w:r w:rsidRPr="00D17F3E">
        <w:rPr>
          <w:rFonts w:eastAsia="Calibri"/>
        </w:rPr>
        <w:t xml:space="preserve">și </w:t>
      </w:r>
      <w:r>
        <w:rPr>
          <w:rFonts w:eastAsia="Calibri"/>
        </w:rPr>
        <w:t>Secțiunea</w:t>
      </w:r>
      <w:r w:rsidRPr="00D17F3E">
        <w:rPr>
          <w:rFonts w:eastAsia="Calibri"/>
        </w:rPr>
        <w:t xml:space="preserve"> A-I/12</w:t>
      </w:r>
      <w:r>
        <w:rPr>
          <w:rFonts w:eastAsia="Calibri"/>
        </w:rPr>
        <w:t xml:space="preserve"> ”</w:t>
      </w:r>
      <w:r w:rsidRPr="00C56693">
        <w:rPr>
          <w:rStyle w:val="l5def1"/>
          <w:rFonts w:ascii="Trebuchet MS" w:hAnsi="Trebuchet MS"/>
          <w:i/>
          <w:sz w:val="22"/>
          <w:szCs w:val="22"/>
        </w:rPr>
        <w:t>Standarde ce guvernează utilizarea simulatoarelor</w:t>
      </w:r>
      <w:r>
        <w:rPr>
          <w:rStyle w:val="l5def1"/>
          <w:rFonts w:ascii="Trebuchet MS" w:hAnsi="Trebuchet MS"/>
          <w:i/>
          <w:sz w:val="22"/>
          <w:szCs w:val="22"/>
        </w:rPr>
        <w:t xml:space="preserve">” </w:t>
      </w:r>
      <w:r>
        <w:rPr>
          <w:rStyle w:val="l5def1"/>
          <w:rFonts w:ascii="Trebuchet MS" w:hAnsi="Trebuchet MS"/>
          <w:sz w:val="22"/>
          <w:szCs w:val="22"/>
        </w:rPr>
        <w:t>din Codul STCW.</w:t>
      </w:r>
    </w:p>
    <w:p w:rsidR="00D17F3E" w:rsidRPr="00D17F3E" w:rsidRDefault="00C56693" w:rsidP="00D17F3E">
      <w:pPr>
        <w:spacing w:line="259" w:lineRule="auto"/>
        <w:ind w:right="431" w:firstLine="720"/>
        <w:rPr>
          <w:rFonts w:eastAsia="Calibri"/>
        </w:rPr>
      </w:pPr>
      <w:r>
        <w:rPr>
          <w:rFonts w:ascii="Arial" w:hAnsi="Arial" w:cs="Arial"/>
          <w:sz w:val="26"/>
          <w:szCs w:val="26"/>
        </w:rPr>
        <w:br/>
      </w:r>
    </w:p>
    <w:p w:rsidR="00D17F3E" w:rsidRPr="00D17F3E" w:rsidRDefault="00D17F3E" w:rsidP="00D17F3E">
      <w:pPr>
        <w:spacing w:after="160" w:line="259" w:lineRule="auto"/>
        <w:ind w:right="431" w:firstLine="720"/>
        <w:rPr>
          <w:rFonts w:eastAsia="Calibri"/>
        </w:rPr>
      </w:pPr>
      <w:r w:rsidRPr="00D17F3E">
        <w:lastRenderedPageBreak/>
        <w:t xml:space="preserve">În cadrul </w:t>
      </w:r>
      <w:r w:rsidR="00223FFC">
        <w:t>S</w:t>
      </w:r>
      <w:r w:rsidRPr="00D17F3E">
        <w:t xml:space="preserve">ecțiunii A-I/12 </w:t>
      </w:r>
      <w:r w:rsidR="00223FFC">
        <w:t xml:space="preserve">din </w:t>
      </w:r>
      <w:r w:rsidRPr="00D17F3E">
        <w:t xml:space="preserve">Codul STCW se face o distincție clară între simulatoarele folosite pentru instruire și cele folosite pentru evaluarea competențelor, prevăzând pentru acestea din urmă obiective de performanță speciale, </w:t>
      </w:r>
      <w:r w:rsidR="00223FFC">
        <w:t>la</w:t>
      </w:r>
      <w:r w:rsidRPr="00D17F3E">
        <w:t xml:space="preserve"> pct. 8 al secțiunii A-I/12</w:t>
      </w:r>
      <w:r w:rsidR="00223FFC">
        <w:t xml:space="preserve"> fiind</w:t>
      </w:r>
      <w:r w:rsidRPr="00D17F3E">
        <w:t xml:space="preserve"> prevăzute procedurile de evaluare a competențelor cu ajutorul simulatoarelor.</w:t>
      </w:r>
    </w:p>
    <w:p w:rsidR="00D17F3E" w:rsidRPr="00D17F3E" w:rsidRDefault="00D17F3E" w:rsidP="00D17F3E">
      <w:pPr>
        <w:ind w:right="431" w:firstLine="720"/>
      </w:pPr>
      <w:r w:rsidRPr="00D17F3E">
        <w:t>De asemenea, în partea B</w:t>
      </w:r>
      <w:r w:rsidR="00223FFC" w:rsidRPr="00223FFC">
        <w:t xml:space="preserve"> </w:t>
      </w:r>
      <w:r w:rsidR="00223FFC">
        <w:t>a</w:t>
      </w:r>
      <w:r w:rsidR="00223FFC">
        <w:t xml:space="preserve"> </w:t>
      </w:r>
      <w:r w:rsidR="00223FFC" w:rsidRPr="00D17F3E">
        <w:t>Codul</w:t>
      </w:r>
      <w:r w:rsidR="00223FFC">
        <w:t>ui</w:t>
      </w:r>
      <w:r w:rsidR="00223FFC" w:rsidRPr="00D17F3E">
        <w:t xml:space="preserve"> STCW</w:t>
      </w:r>
      <w:r w:rsidR="00223FFC">
        <w:t>, la pct. 17 din S</w:t>
      </w:r>
      <w:r w:rsidRPr="00D17F3E">
        <w:t xml:space="preserve">ecțiunea B-II/1 </w:t>
      </w:r>
      <w:r w:rsidRPr="00223FFC">
        <w:rPr>
          <w:i/>
        </w:rPr>
        <w:t>„Îndrumări referitoare la certificarea ofițerilor cu responsabilitatea cartului de navigație la bordul navelor cu un tonaj brut de 500 t și mai mare”</w:t>
      </w:r>
      <w:r w:rsidRPr="00D17F3E">
        <w:rPr>
          <w:i/>
        </w:rPr>
        <w:t xml:space="preserve">, </w:t>
      </w:r>
      <w:r w:rsidRPr="00D17F3E">
        <w:t>sunt precizate metodele pe care autoritățile naționale trebuie să le adopte pentru evaluarea completă a competențelor în vederea acordării certificatelor de competență, menționând, la sub-punctele .2 și .5 urmatoarele:</w:t>
      </w:r>
    </w:p>
    <w:p w:rsidR="00D17F3E" w:rsidRPr="00223FFC" w:rsidRDefault="00D17F3E" w:rsidP="00223FFC">
      <w:pPr>
        <w:spacing w:after="120"/>
        <w:ind w:right="431"/>
        <w:rPr>
          <w:i/>
        </w:rPr>
      </w:pPr>
      <w:r w:rsidRPr="00223FFC">
        <w:rPr>
          <w:i/>
        </w:rPr>
        <w:t>”.2</w:t>
      </w:r>
      <w:r w:rsidR="00223FFC" w:rsidRPr="00223FFC">
        <w:rPr>
          <w:i/>
        </w:rPr>
        <w:t xml:space="preserve"> </w:t>
      </w:r>
      <w:r w:rsidRPr="00223FFC">
        <w:rPr>
          <w:i/>
        </w:rPr>
        <w:t xml:space="preserve">teste de competență, de priceperi și deprinderi, de abilități de execuție; </w:t>
      </w:r>
    </w:p>
    <w:p w:rsidR="00D17F3E" w:rsidRPr="00223FFC" w:rsidRDefault="00D17F3E" w:rsidP="00223FFC">
      <w:pPr>
        <w:spacing w:after="120"/>
        <w:ind w:right="431"/>
        <w:rPr>
          <w:rStyle w:val="Hyperlink"/>
          <w:rFonts w:ascii="Arial" w:hAnsi="Arial" w:cs="Arial"/>
          <w:i/>
          <w:color w:val="auto"/>
        </w:rPr>
      </w:pPr>
      <w:r w:rsidRPr="00223FFC">
        <w:rPr>
          <w:i/>
        </w:rPr>
        <w:t>.5 evaluarea prin tehnici de chestionare scrisă, orală sau pe calculator.”</w:t>
      </w:r>
      <w:r w:rsidRPr="00223FFC">
        <w:rPr>
          <w:rStyle w:val="Hyperlink"/>
          <w:rFonts w:ascii="Arial" w:hAnsi="Arial" w:cs="Arial"/>
          <w:i/>
          <w:color w:val="auto"/>
        </w:rPr>
        <w:t xml:space="preserve"> </w:t>
      </w:r>
    </w:p>
    <w:p w:rsidR="00D17F3E" w:rsidRPr="00D17F3E" w:rsidRDefault="00D17F3E" w:rsidP="00D17F3E">
      <w:pPr>
        <w:ind w:right="431"/>
      </w:pPr>
      <w:r w:rsidRPr="00D17F3E">
        <w:t>Aceste metode includ, în mod special la sub-punctul .2, evaluarea pe simulator.</w:t>
      </w:r>
    </w:p>
    <w:p w:rsidR="00B821EE" w:rsidRDefault="00D17F3E" w:rsidP="00D17F3E">
      <w:pPr>
        <w:tabs>
          <w:tab w:val="left" w:pos="798"/>
          <w:tab w:val="left" w:pos="851"/>
        </w:tabs>
        <w:ind w:right="431"/>
        <w:rPr>
          <w:lang w:eastAsia="ro-RO"/>
        </w:rPr>
      </w:pPr>
      <w:r w:rsidRPr="00D17F3E">
        <w:rPr>
          <w:rFonts w:eastAsia="SimSun"/>
        </w:rPr>
        <w:t xml:space="preserve">           </w:t>
      </w:r>
      <w:r w:rsidR="00B821EE">
        <w:rPr>
          <w:rFonts w:eastAsia="SimSun"/>
        </w:rPr>
        <w:tab/>
        <w:t xml:space="preserve">Având în vedere faptul că </w:t>
      </w:r>
      <w:r w:rsidR="00223FFC" w:rsidRPr="00D17F3E">
        <w:rPr>
          <w:lang w:eastAsia="ro-RO"/>
        </w:rPr>
        <w:t>Ministerul Transporturilor trebuie să se asigure că personalul navigant a atins competenţele impus</w:t>
      </w:r>
      <w:r w:rsidR="00B821EE">
        <w:rPr>
          <w:lang w:eastAsia="ro-RO"/>
        </w:rPr>
        <w:t>e de convenţiile internaţionale IMO la care România este parte</w:t>
      </w:r>
      <w:r w:rsidR="00223FFC" w:rsidRPr="00D17F3E">
        <w:rPr>
          <w:lang w:eastAsia="ro-RO"/>
        </w:rPr>
        <w:t xml:space="preserve"> sau de directivele e</w:t>
      </w:r>
      <w:r w:rsidR="00B821EE">
        <w:rPr>
          <w:lang w:eastAsia="ro-RO"/>
        </w:rPr>
        <w:t>uropene, a</w:t>
      </w:r>
      <w:r w:rsidR="00223FFC" w:rsidRPr="00D17F3E">
        <w:rPr>
          <w:lang w:eastAsia="ro-RO"/>
        </w:rPr>
        <w:t>ceastă evaluare a competenţelor  realiz</w:t>
      </w:r>
      <w:r w:rsidR="00B821EE">
        <w:rPr>
          <w:lang w:eastAsia="ro-RO"/>
        </w:rPr>
        <w:t>ându-se</w:t>
      </w:r>
      <w:r w:rsidR="00223FFC" w:rsidRPr="00D17F3E">
        <w:rPr>
          <w:lang w:eastAsia="ro-RO"/>
        </w:rPr>
        <w:t xml:space="preserve"> prin testări, interviuri, evaluare practică la bordul navelor</w:t>
      </w:r>
      <w:r w:rsidR="00B821EE">
        <w:rPr>
          <w:lang w:eastAsia="ro-RO"/>
        </w:rPr>
        <w:t xml:space="preserve"> sau cu ajutorul simulatoarelor;</w:t>
      </w:r>
    </w:p>
    <w:p w:rsidR="00B821EE" w:rsidRDefault="00B821EE" w:rsidP="00D17F3E">
      <w:pPr>
        <w:tabs>
          <w:tab w:val="left" w:pos="798"/>
          <w:tab w:val="left" w:pos="851"/>
        </w:tabs>
        <w:ind w:right="431"/>
        <w:rPr>
          <w:rFonts w:eastAsia="Calibri"/>
        </w:rPr>
      </w:pPr>
      <w:r>
        <w:rPr>
          <w:rFonts w:eastAsia="SimSun"/>
        </w:rPr>
        <w:tab/>
        <w:t>luând în considerare r</w:t>
      </w:r>
      <w:r w:rsidRPr="00D17F3E">
        <w:rPr>
          <w:rFonts w:eastAsia="SimSun"/>
        </w:rPr>
        <w:t>ecomandări</w:t>
      </w:r>
      <w:r>
        <w:rPr>
          <w:rFonts w:eastAsia="SimSun"/>
        </w:rPr>
        <w:t>le</w:t>
      </w:r>
      <w:r w:rsidRPr="00D17F3E">
        <w:rPr>
          <w:rFonts w:eastAsia="SimSun"/>
        </w:rPr>
        <w:t xml:space="preserve"> </w:t>
      </w:r>
      <w:r>
        <w:rPr>
          <w:rFonts w:eastAsia="SimSun"/>
        </w:rPr>
        <w:t xml:space="preserve">anexei la </w:t>
      </w:r>
      <w:r w:rsidRPr="00D17F3E">
        <w:rPr>
          <w:rFonts w:eastAsia="SimSun"/>
        </w:rPr>
        <w:t>Convenţi</w:t>
      </w:r>
      <w:r>
        <w:rPr>
          <w:rFonts w:eastAsia="SimSun"/>
        </w:rPr>
        <w:t>a STCW 1978</w:t>
      </w:r>
      <w:r w:rsidRPr="00D17F3E">
        <w:rPr>
          <w:rFonts w:eastAsia="SimSun"/>
        </w:rPr>
        <w:t xml:space="preserve"> şi</w:t>
      </w:r>
      <w:r>
        <w:rPr>
          <w:rFonts w:eastAsia="SimSun"/>
        </w:rPr>
        <w:t xml:space="preserve"> ale</w:t>
      </w:r>
      <w:r w:rsidRPr="00D17F3E">
        <w:rPr>
          <w:rFonts w:eastAsia="SimSun"/>
        </w:rPr>
        <w:t xml:space="preserve"> Codului STCW, precum şi </w:t>
      </w:r>
      <w:r w:rsidRPr="00D17F3E">
        <w:rPr>
          <w:rFonts w:eastAsia="Calibri"/>
        </w:rPr>
        <w:t>raportul, privind consideraţiile iniţiale, întocmit de către persoanele competente desemnate,</w:t>
      </w:r>
    </w:p>
    <w:p w:rsidR="00D17F3E" w:rsidRPr="00D17F3E" w:rsidRDefault="00B821EE" w:rsidP="00D17F3E">
      <w:pPr>
        <w:tabs>
          <w:tab w:val="left" w:pos="798"/>
          <w:tab w:val="left" w:pos="851"/>
        </w:tabs>
        <w:ind w:right="431"/>
        <w:rPr>
          <w:rFonts w:eastAsia="SimSun"/>
        </w:rPr>
      </w:pPr>
      <w:r w:rsidRPr="00D17F3E">
        <w:rPr>
          <w:rFonts w:eastAsia="SimSun"/>
        </w:rPr>
        <w:t xml:space="preserve">au dus la necesitatea modificării şi completării </w:t>
      </w:r>
      <w:r w:rsidRPr="00D17F3E">
        <w:rPr>
          <w:bCs/>
          <w:i/>
          <w:lang w:val="en-US"/>
        </w:rPr>
        <w:t>Ordinului nr. 1252/2014 pentru aprobarea criteriilor minime de pregătire şi perfecţionare a personalului navigant maritim român şi a sistemului de recunoaştere a brevetelor şi a certificatelor de capacitate</w:t>
      </w:r>
      <w:r w:rsidRPr="00D17F3E">
        <w:rPr>
          <w:rFonts w:eastAsia="SimSun"/>
        </w:rPr>
        <w:t>.</w:t>
      </w:r>
    </w:p>
    <w:p w:rsidR="00D17F3E" w:rsidRPr="00B821EE" w:rsidRDefault="00D17F3E" w:rsidP="00D17F3E">
      <w:pPr>
        <w:ind w:right="431" w:firstLine="720"/>
      </w:pPr>
      <w:r w:rsidRPr="00D17F3E">
        <w:t>În contextul celor de mai sus</w:t>
      </w:r>
      <w:r w:rsidRPr="00D17F3E">
        <w:rPr>
          <w:rFonts w:eastAsia="SimSun"/>
        </w:rPr>
        <w:t xml:space="preserve">, a fost întocmit </w:t>
      </w:r>
      <w:r w:rsidRPr="00D17F3E">
        <w:t xml:space="preserve">proiectul de </w:t>
      </w:r>
      <w:r w:rsidRPr="00D17F3E">
        <w:rPr>
          <w:i/>
        </w:rPr>
        <w:t xml:space="preserve">Ordin al ministrului transporturilor privind modificarea şi completarea Ordinului </w:t>
      </w:r>
      <w:bookmarkStart w:id="1" w:name="_Hlk10192729"/>
      <w:r w:rsidRPr="00D17F3E">
        <w:rPr>
          <w:i/>
        </w:rPr>
        <w:t>ministrului transporturilor nr. 1252/2014 pentru aprobarea criteriilor minime de pregătire şi perfecţionare a personalului navigant maritim român şi a sistemului de recunoaştere a brevetelor şi a certificatelor de capacitate</w:t>
      </w:r>
      <w:bookmarkEnd w:id="1"/>
      <w:r w:rsidRPr="00D17F3E">
        <w:rPr>
          <w:i/>
        </w:rPr>
        <w:t xml:space="preserve">, </w:t>
      </w:r>
      <w:r w:rsidRPr="00D17F3E">
        <w:rPr>
          <w:rFonts w:eastAsia="SimSun"/>
        </w:rPr>
        <w:t xml:space="preserve">pe care </w:t>
      </w:r>
      <w:r w:rsidRPr="00B821EE">
        <w:t>dacă sunteţi de acord, vă rugăm să îl aprobaţi.</w:t>
      </w:r>
    </w:p>
    <w:p w:rsidR="00B821EE" w:rsidRDefault="00B821EE" w:rsidP="00D17F3E">
      <w:pPr>
        <w:ind w:firstLine="720"/>
        <w:jc w:val="center"/>
        <w:rPr>
          <w:b/>
        </w:rPr>
      </w:pPr>
    </w:p>
    <w:p w:rsidR="00D17F3E" w:rsidRPr="00D17F3E" w:rsidRDefault="00D17F3E" w:rsidP="00B821EE">
      <w:pPr>
        <w:ind w:right="431"/>
        <w:jc w:val="center"/>
        <w:rPr>
          <w:b/>
        </w:rPr>
      </w:pPr>
      <w:bookmarkStart w:id="2" w:name="_GoBack"/>
      <w:r w:rsidRPr="00D17F3E">
        <w:rPr>
          <w:b/>
        </w:rPr>
        <w:t>DIRECTOR</w:t>
      </w:r>
    </w:p>
    <w:p w:rsidR="00D17F3E" w:rsidRPr="00D17F3E" w:rsidRDefault="00D17F3E" w:rsidP="00B821EE">
      <w:pPr>
        <w:ind w:right="431"/>
        <w:jc w:val="center"/>
        <w:rPr>
          <w:b/>
        </w:rPr>
      </w:pPr>
      <w:r w:rsidRPr="00D17F3E">
        <w:rPr>
          <w:b/>
        </w:rPr>
        <w:t>Gabriela MURGEANU</w:t>
      </w:r>
    </w:p>
    <w:bookmarkEnd w:id="2"/>
    <w:p w:rsidR="00731054" w:rsidRDefault="00731054" w:rsidP="00AF7DF1">
      <w:pPr>
        <w:rPr>
          <w:b/>
        </w:rPr>
      </w:pPr>
    </w:p>
    <w:p w:rsidR="007B70B2" w:rsidRDefault="007B70B2" w:rsidP="00371A10"/>
    <w:p w:rsidR="007B70B2" w:rsidRDefault="007B70B2" w:rsidP="00371A10"/>
    <w:p w:rsidR="007B70B2" w:rsidRDefault="007B70B2" w:rsidP="00371A10"/>
    <w:p w:rsidR="005260A3" w:rsidRPr="00AC0805" w:rsidRDefault="005260A3" w:rsidP="00D17F3E">
      <w:pPr>
        <w:ind w:left="-720"/>
        <w:rPr>
          <w:lang w:val="it-IT"/>
        </w:rPr>
      </w:pPr>
      <w:r>
        <w:rPr>
          <w:b/>
        </w:rPr>
        <w:t xml:space="preserve">         </w:t>
      </w:r>
    </w:p>
    <w:p w:rsidR="005260A3" w:rsidRPr="00D20F11" w:rsidRDefault="005260A3" w:rsidP="005260A3">
      <w:pPr>
        <w:pStyle w:val="ListParagraph"/>
        <w:spacing w:after="120"/>
        <w:ind w:left="0" w:right="-187"/>
      </w:pPr>
    </w:p>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Default="007B70B2" w:rsidP="00371A10"/>
    <w:p w:rsidR="007B70B2" w:rsidRPr="00371A10" w:rsidRDefault="007B70B2" w:rsidP="00371A10"/>
    <w:sectPr w:rsidR="007B70B2" w:rsidRPr="00371A1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BA" w:rsidRDefault="00261FBA" w:rsidP="009772BD">
      <w:r>
        <w:separator/>
      </w:r>
    </w:p>
  </w:endnote>
  <w:endnote w:type="continuationSeparator" w:id="0">
    <w:p w:rsidR="00261FBA" w:rsidRDefault="00261FB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94504"/>
      <w:docPartObj>
        <w:docPartGallery w:val="Page Numbers (Bottom of Page)"/>
        <w:docPartUnique/>
      </w:docPartObj>
    </w:sdtPr>
    <w:sdtEndPr>
      <w:rPr>
        <w:noProof/>
      </w:rPr>
    </w:sdtEndPr>
    <w:sdtContent>
      <w:p w:rsidR="00223FFC" w:rsidRDefault="00223FFC">
        <w:pPr>
          <w:pStyle w:val="Footer"/>
          <w:jc w:val="right"/>
        </w:pPr>
        <w:r>
          <w:fldChar w:fldCharType="begin"/>
        </w:r>
        <w:r>
          <w:instrText xml:space="preserve"> PAGE   \* MERGEFORMAT </w:instrText>
        </w:r>
        <w:r>
          <w:fldChar w:fldCharType="separate"/>
        </w:r>
        <w:r w:rsidR="00B821EE">
          <w:rPr>
            <w:noProof/>
          </w:rPr>
          <w:t>4</w:t>
        </w:r>
        <w:r>
          <w:rPr>
            <w:noProof/>
          </w:rPr>
          <w:fldChar w:fldCharType="end"/>
        </w:r>
      </w:p>
    </w:sdtContent>
  </w:sdt>
  <w:p w:rsidR="002328DD" w:rsidRPr="00F9058C" w:rsidRDefault="002328DD" w:rsidP="00F9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BA" w:rsidRDefault="00261FBA" w:rsidP="009772BD">
      <w:r>
        <w:separator/>
      </w:r>
    </w:p>
  </w:footnote>
  <w:footnote w:type="continuationSeparator" w:id="0">
    <w:p w:rsidR="00261FBA" w:rsidRDefault="00261FBA"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val="en-US"/>
      </w:rPr>
      <w:drawing>
        <wp:anchor distT="0" distB="0" distL="114300" distR="114300" simplePos="0" relativeHeight="251658752" behindDoc="0" locked="0" layoutInCell="1" allowOverlap="1">
          <wp:simplePos x="0" y="0"/>
          <wp:positionH relativeFrom="margin">
            <wp:align>right</wp:align>
          </wp:positionH>
          <wp:positionV relativeFrom="paragraph">
            <wp:posOffset>635</wp:posOffset>
          </wp:positionV>
          <wp:extent cx="1838325" cy="688975"/>
          <wp:effectExtent l="0" t="0" r="9525" b="0"/>
          <wp:wrapThrough wrapText="bothSides">
            <wp:wrapPolygon edited="0">
              <wp:start x="10073" y="0"/>
              <wp:lineTo x="1343" y="2389"/>
              <wp:lineTo x="1343" y="7764"/>
              <wp:lineTo x="12087" y="9556"/>
              <wp:lineTo x="0" y="13139"/>
              <wp:lineTo x="0" y="20903"/>
              <wp:lineTo x="21488" y="20903"/>
              <wp:lineTo x="21488" y="13139"/>
              <wp:lineTo x="14102" y="9556"/>
              <wp:lineTo x="19697" y="8361"/>
              <wp:lineTo x="20369" y="5375"/>
              <wp:lineTo x="17683" y="0"/>
              <wp:lineTo x="1007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6889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20" name="Picture 20"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959"/>
    <w:multiLevelType w:val="hybridMultilevel"/>
    <w:tmpl w:val="9B2A3D28"/>
    <w:lvl w:ilvl="0" w:tplc="50C286CA">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3AA505E8"/>
    <w:multiLevelType w:val="hybridMultilevel"/>
    <w:tmpl w:val="D5640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346B6"/>
    <w:rsid w:val="0004529D"/>
    <w:rsid w:val="000745D4"/>
    <w:rsid w:val="0008480C"/>
    <w:rsid w:val="000912B9"/>
    <w:rsid w:val="000F2581"/>
    <w:rsid w:val="00114474"/>
    <w:rsid w:val="001466DC"/>
    <w:rsid w:val="001515C7"/>
    <w:rsid w:val="00153C77"/>
    <w:rsid w:val="00182D1E"/>
    <w:rsid w:val="00184C0E"/>
    <w:rsid w:val="001D0343"/>
    <w:rsid w:val="00207E4C"/>
    <w:rsid w:val="00220AF3"/>
    <w:rsid w:val="00223FFC"/>
    <w:rsid w:val="002328DD"/>
    <w:rsid w:val="00261FBA"/>
    <w:rsid w:val="0030003B"/>
    <w:rsid w:val="003656A6"/>
    <w:rsid w:val="00371A10"/>
    <w:rsid w:val="00393F86"/>
    <w:rsid w:val="003D6DCA"/>
    <w:rsid w:val="003F2DC4"/>
    <w:rsid w:val="0040453A"/>
    <w:rsid w:val="0041591D"/>
    <w:rsid w:val="00427B84"/>
    <w:rsid w:val="0045263D"/>
    <w:rsid w:val="004F1C7A"/>
    <w:rsid w:val="00513090"/>
    <w:rsid w:val="005260A3"/>
    <w:rsid w:val="00544A8E"/>
    <w:rsid w:val="0058356E"/>
    <w:rsid w:val="0062377C"/>
    <w:rsid w:val="00641FF6"/>
    <w:rsid w:val="006A27C4"/>
    <w:rsid w:val="006B3B83"/>
    <w:rsid w:val="00731054"/>
    <w:rsid w:val="007B55DB"/>
    <w:rsid w:val="007B70B2"/>
    <w:rsid w:val="008176B4"/>
    <w:rsid w:val="00840A24"/>
    <w:rsid w:val="00864AA8"/>
    <w:rsid w:val="008E2DDB"/>
    <w:rsid w:val="008E7BE2"/>
    <w:rsid w:val="00924B7A"/>
    <w:rsid w:val="00933D5E"/>
    <w:rsid w:val="009430B8"/>
    <w:rsid w:val="009772BD"/>
    <w:rsid w:val="00A1682E"/>
    <w:rsid w:val="00A6789C"/>
    <w:rsid w:val="00AC0805"/>
    <w:rsid w:val="00AE3A8C"/>
    <w:rsid w:val="00AF1B38"/>
    <w:rsid w:val="00AF7DF1"/>
    <w:rsid w:val="00B16E72"/>
    <w:rsid w:val="00B54D6E"/>
    <w:rsid w:val="00B821EE"/>
    <w:rsid w:val="00BE2979"/>
    <w:rsid w:val="00BF1FCA"/>
    <w:rsid w:val="00C111CD"/>
    <w:rsid w:val="00C45652"/>
    <w:rsid w:val="00C56693"/>
    <w:rsid w:val="00C61DC0"/>
    <w:rsid w:val="00C65258"/>
    <w:rsid w:val="00C73094"/>
    <w:rsid w:val="00C75757"/>
    <w:rsid w:val="00C77C5D"/>
    <w:rsid w:val="00CC5F61"/>
    <w:rsid w:val="00D17F3E"/>
    <w:rsid w:val="00DB3A6C"/>
    <w:rsid w:val="00DD6FB0"/>
    <w:rsid w:val="00DF66A1"/>
    <w:rsid w:val="00E61C9E"/>
    <w:rsid w:val="00E6505E"/>
    <w:rsid w:val="00E67B15"/>
    <w:rsid w:val="00E861EE"/>
    <w:rsid w:val="00F62ACC"/>
    <w:rsid w:val="00F9058C"/>
    <w:rsid w:val="00FC7074"/>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qFormat/>
    <w:rsid w:val="00393F86"/>
    <w:pPr>
      <w:ind w:left="720"/>
      <w:contextualSpacing/>
    </w:pPr>
  </w:style>
  <w:style w:type="character" w:styleId="Hyperlink">
    <w:name w:val="Hyperlink"/>
    <w:rsid w:val="00F9058C"/>
    <w:rPr>
      <w:color w:val="0000FF"/>
      <w:u w:val="single"/>
    </w:rPr>
  </w:style>
  <w:style w:type="character" w:customStyle="1" w:styleId="l5tlu1">
    <w:name w:val="l5tlu1"/>
    <w:basedOn w:val="DefaultParagraphFont"/>
    <w:rsid w:val="00153C77"/>
    <w:rPr>
      <w:b/>
      <w:bCs/>
      <w:color w:val="000000"/>
      <w:sz w:val="32"/>
      <w:szCs w:val="32"/>
    </w:rPr>
  </w:style>
  <w:style w:type="character" w:customStyle="1" w:styleId="l5def1">
    <w:name w:val="l5def1"/>
    <w:basedOn w:val="DefaultParagraphFont"/>
    <w:rsid w:val="00153C7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2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2019-06-18T15:27:00Z</dcterms:created>
  <dcterms:modified xsi:type="dcterms:W3CDTF">2019-06-18T15:27:00Z</dcterms:modified>
</cp:coreProperties>
</file>