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1E1A" w14:textId="287F5889" w:rsidR="003B5FDC" w:rsidRPr="001539FB" w:rsidRDefault="003B5FDC" w:rsidP="00CE6400">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lang w:val="en-US"/>
        </w:rPr>
        <w:t>P</w:t>
      </w:r>
      <w:proofErr w:type="spellStart"/>
      <w:r w:rsidRPr="001539FB">
        <w:rPr>
          <w:rFonts w:ascii="Arial" w:eastAsia="Calibri" w:hAnsi="Arial" w:cs="Arial"/>
          <w:b/>
          <w:color w:val="365F91" w:themeColor="accent1" w:themeShade="BF"/>
          <w:sz w:val="24"/>
          <w:szCs w:val="24"/>
        </w:rPr>
        <w:t>roiectul</w:t>
      </w:r>
      <w:proofErr w:type="spellEnd"/>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824F08" w:rsidRPr="00824F08">
        <w:rPr>
          <w:rStyle w:val="Strong"/>
          <w:rFonts w:ascii="Arial" w:hAnsi="Arial" w:cs="Arial"/>
          <w:color w:val="365F91" w:themeColor="accent1" w:themeShade="BF"/>
          <w:sz w:val="24"/>
          <w:szCs w:val="24"/>
          <w:shd w:val="clear" w:color="auto" w:fill="FFFFFF"/>
        </w:rPr>
        <w:t>Hotărâre a Guvernului pentru aprobarea Normelor metodologice pentru punerea în aplicare a prevederilor Ordonanței Guvernului nr. 39/2007 privind interoperabilitatea sistemelor electronice de tarifare pentru utilizarea infrastructurii rutiere</w:t>
      </w:r>
      <w:bookmarkStart w:id="0" w:name="_GoBack"/>
      <w:bookmarkEnd w:id="0"/>
    </w:p>
    <w:p w14:paraId="7F181E1B" w14:textId="77777777"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14:paraId="7F181E1C"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14:paraId="7F181E1D"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firstRow="1" w:lastRow="0" w:firstColumn="1" w:lastColumn="0" w:noHBand="0" w:noVBand="1"/>
      </w:tblPr>
      <w:tblGrid>
        <w:gridCol w:w="6062"/>
        <w:gridCol w:w="6237"/>
        <w:gridCol w:w="2551"/>
      </w:tblGrid>
      <w:tr w:rsidR="00CB566D" w:rsidRPr="00CB566D" w14:paraId="7F181E21" w14:textId="77777777" w:rsidTr="001539FB">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1E" w14:textId="77777777"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14:paraId="7F181E1F"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14:paraId="7F181E20"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D06BF">
              <w:rPr>
                <w:rFonts w:ascii="Arial" w:hAnsi="Arial" w:cs="Arial"/>
                <w:sz w:val="20"/>
                <w:szCs w:val="20"/>
              </w:rPr>
              <w:t>Motivatie</w:t>
            </w:r>
            <w:proofErr w:type="spellEnd"/>
          </w:p>
        </w:tc>
      </w:tr>
      <w:tr w:rsidR="001539FB" w:rsidRPr="00CB566D" w14:paraId="7F181E25" w14:textId="77777777"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3E221B69" w14:textId="77777777" w:rsidR="00824F08" w:rsidRDefault="00824F08" w:rsidP="00824F08">
            <w:pPr>
              <w:jc w:val="both"/>
            </w:pPr>
            <w:r>
              <w:t>Art. 1. – (1) Dispozițiile prezentei hotărâri constituie cadrul general pentru înființarea Registrului Electronic National al serviciului european de tarifare rutieră electronică, denumit în continuare Registrul SETRE și pentru stabilirea procedurilor de înregistrare în România a domeniilor SETRE aflate pe teritoriul național și a furnizorilor serviciului european de tarifare rutieră electronică, denumiți în continuare furnizori SETRE.</w:t>
            </w:r>
          </w:p>
          <w:p w14:paraId="7F181E22" w14:textId="3D8250D4" w:rsidR="001539FB" w:rsidRPr="0063672D" w:rsidRDefault="00824F08" w:rsidP="00824F08">
            <w:pPr>
              <w:jc w:val="both"/>
            </w:pPr>
            <w:r>
              <w:t>(2) Prin prezenta hotărâre se creează cadrul legal general pentru implementarea prevederilor Deciziei Comisiei Europene 2009/750/CE din 6 octombrie 2009 privind definirea serviciului european de tarifare rutieră electronică și a elementelor tehnice ale acestuia, publicată în Jurnalul Oficial al Uniunii Europene nr. L 268/11 din 13 octombrie 2009, denumită în continuare Decizia Comisiei 2009/750/CE, în legătură cu cerințele care trebuie îndeplinite pentru înființarea Registrului SETRE.</w:t>
            </w:r>
          </w:p>
        </w:tc>
        <w:tc>
          <w:tcPr>
            <w:tcW w:w="6237" w:type="dxa"/>
            <w:tcBorders>
              <w:left w:val="nil"/>
              <w:right w:val="nil"/>
            </w:tcBorders>
          </w:tcPr>
          <w:p w14:paraId="7F181E23"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24"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824F08" w:rsidRPr="00CB566D" w14:paraId="79E0598B" w14:textId="77777777" w:rsidTr="001539FB">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4E4B2803" w14:textId="77777777" w:rsidR="00824F08" w:rsidRDefault="00824F08" w:rsidP="00824F08">
            <w:pPr>
              <w:jc w:val="both"/>
            </w:pPr>
            <w:r>
              <w:t>Art. 2. – În sensul prezentei hotărâri, termenii și expresiile de mai jos au următoarea semnificație:</w:t>
            </w:r>
          </w:p>
          <w:p w14:paraId="344AD4EE" w14:textId="77777777" w:rsidR="00824F08" w:rsidRDefault="00824F08" w:rsidP="00824F08">
            <w:pPr>
              <w:jc w:val="both"/>
            </w:pPr>
            <w:r>
              <w:t>a)</w:t>
            </w:r>
            <w:r>
              <w:tab/>
              <w:t>domeniu SETRE - un domeniu de tarifare care intră sub incidența Directivei 2004/52/CE;</w:t>
            </w:r>
          </w:p>
          <w:p w14:paraId="35D78022" w14:textId="77777777" w:rsidR="00824F08" w:rsidRDefault="00824F08" w:rsidP="00824F08">
            <w:pPr>
              <w:jc w:val="both"/>
            </w:pPr>
            <w:r>
              <w:t>b)</w:t>
            </w:r>
            <w:r>
              <w:tab/>
              <w:t xml:space="preserve">domeniu de tarifare - o zonă din teritoriul României, o </w:t>
            </w:r>
            <w:r>
              <w:lastRenderedPageBreak/>
              <w:t>parte din rețeaua de drumuri europene sau un element al infrastructurii rutiere, precum un tunel, un pod sau un feribot unde se percepe un tarif rutier;</w:t>
            </w:r>
          </w:p>
          <w:p w14:paraId="275B71BE" w14:textId="77777777" w:rsidR="00824F08" w:rsidRDefault="00824F08" w:rsidP="00824F08">
            <w:pPr>
              <w:jc w:val="both"/>
            </w:pPr>
            <w:r>
              <w:t>c)</w:t>
            </w:r>
            <w:r>
              <w:tab/>
              <w:t>furnizor SETRE – o persoană juridică ce îndeplinește cerințele prevăzute la art. 3 din Decizia Comisiei 2009/750/CE, este stabilită și înregistrată în România în Registrul SETRE, care acordă accesul la SETRE unui utilizator SETRE;</w:t>
            </w:r>
          </w:p>
          <w:p w14:paraId="7A27543F" w14:textId="77777777" w:rsidR="00824F08" w:rsidRDefault="00824F08" w:rsidP="00824F08">
            <w:pPr>
              <w:jc w:val="both"/>
            </w:pPr>
            <w:r>
              <w:t>d)</w:t>
            </w:r>
            <w:r>
              <w:tab/>
              <w:t>utilizator SETRE – persoana fizică sau juridică, care încheie un contract cu un furnizor SETRE pentru a obține accesul la SETRE;</w:t>
            </w:r>
          </w:p>
          <w:p w14:paraId="51D7E700" w14:textId="77777777" w:rsidR="00824F08" w:rsidRDefault="00824F08" w:rsidP="00824F08">
            <w:pPr>
              <w:jc w:val="both"/>
            </w:pPr>
            <w:r>
              <w:t>e)</w:t>
            </w:r>
            <w:r>
              <w:tab/>
              <w:t>tarif - un tarif rutier sau obligație de plată percepută în legătură cu un autovehicul sau un ansamblu de vehicule într-un domeniu de tarifare;</w:t>
            </w:r>
          </w:p>
          <w:p w14:paraId="62C5DD6A" w14:textId="77777777" w:rsidR="00824F08" w:rsidRDefault="00824F08" w:rsidP="00824F08">
            <w:pPr>
              <w:jc w:val="both"/>
            </w:pPr>
            <w:r>
              <w:t>f)</w:t>
            </w:r>
            <w:r>
              <w:tab/>
              <w:t xml:space="preserve">informații privind tariful - datele definite de autoritatea care impune tariful, necesare pentru stabilirea sumelor datorate pentru </w:t>
            </w:r>
            <w:proofErr w:type="spellStart"/>
            <w:r>
              <w:t>circulatia</w:t>
            </w:r>
            <w:proofErr w:type="spellEnd"/>
            <w:r>
              <w:t xml:space="preserve"> unui autovehicul sau ansamblu de vehicule pe un anumit domeniu de tarifare și pentru tranzacțiile legate de plata tarifului;</w:t>
            </w:r>
          </w:p>
          <w:p w14:paraId="5BCC135B" w14:textId="77777777" w:rsidR="00824F08" w:rsidRDefault="00824F08" w:rsidP="00824F08">
            <w:pPr>
              <w:jc w:val="both"/>
            </w:pPr>
            <w:r>
              <w:t>g)</w:t>
            </w:r>
            <w:r>
              <w:tab/>
              <w:t>autoritate care impune tariful - o organizație publică sau privată care impune tarife pentru circulația autovehiculului sau ansamblului de vehicule într-un domeniu SETRE;</w:t>
            </w:r>
          </w:p>
          <w:p w14:paraId="14E7D62D" w14:textId="3F0F80D2" w:rsidR="00824F08" w:rsidRDefault="00824F08" w:rsidP="00824F08">
            <w:pPr>
              <w:jc w:val="both"/>
            </w:pPr>
            <w:r>
              <w:t>h)</w:t>
            </w:r>
            <w:r>
              <w:tab/>
              <w:t>elemente constitutive de interoperabilitate -  înseamnă orice componentă elementară, grup de componente, subansamblu sau ansamblu complet al echipamentului încorporat sau care este planificat a fi încorporat în SETRE, de care depinde, direct sau indirect, interoperabilitatea serviciului, inclusiv obiectele tangibile și intangibile, cum sunt programele informatice</w:t>
            </w:r>
          </w:p>
        </w:tc>
        <w:tc>
          <w:tcPr>
            <w:tcW w:w="6237" w:type="dxa"/>
            <w:tcBorders>
              <w:left w:val="nil"/>
              <w:right w:val="nil"/>
            </w:tcBorders>
          </w:tcPr>
          <w:p w14:paraId="1D10349F" w14:textId="77777777" w:rsidR="00824F08" w:rsidRPr="00CB566D" w:rsidRDefault="00824F08"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551" w:type="dxa"/>
            <w:tcBorders>
              <w:left w:val="nil"/>
            </w:tcBorders>
          </w:tcPr>
          <w:p w14:paraId="11BF7B0D" w14:textId="77777777" w:rsidR="00824F08" w:rsidRPr="00CB566D" w:rsidRDefault="00824F08"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824F08" w:rsidRPr="00CB566D" w14:paraId="7B1B1206" w14:textId="77777777"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63DB8979" w14:textId="77777777" w:rsidR="00824F08" w:rsidRDefault="00824F08" w:rsidP="00824F08">
            <w:pPr>
              <w:jc w:val="both"/>
            </w:pPr>
            <w:r>
              <w:lastRenderedPageBreak/>
              <w:t>Art. 3. – (1) Se înființează Registrul SETRE, care se întocmește, se administrează și se actualizează de către Autoritatea Rutieră Română – A.R.R. din cadrul Ministerului Transporturilor.</w:t>
            </w:r>
          </w:p>
          <w:p w14:paraId="7835D373" w14:textId="77777777" w:rsidR="00824F08" w:rsidRDefault="00824F08" w:rsidP="00824F08">
            <w:pPr>
              <w:jc w:val="both"/>
            </w:pPr>
            <w:r>
              <w:lastRenderedPageBreak/>
              <w:t>(2) Registrul SETRE conține următoarele date:</w:t>
            </w:r>
          </w:p>
          <w:p w14:paraId="43FDE394" w14:textId="77777777" w:rsidR="00824F08" w:rsidRDefault="00824F08" w:rsidP="00824F08">
            <w:pPr>
              <w:jc w:val="both"/>
            </w:pPr>
            <w:r>
              <w:t>a) domeniile SETRE aflate pe teritoriul României, inclusiv informații cu privire la:</w:t>
            </w:r>
          </w:p>
          <w:p w14:paraId="7E1087E4" w14:textId="77777777" w:rsidR="00824F08" w:rsidRDefault="00824F08" w:rsidP="00824F08">
            <w:pPr>
              <w:jc w:val="both"/>
            </w:pPr>
            <w:r>
              <w:t>(i) autoritățile care impun tarife rutiere;</w:t>
            </w:r>
          </w:p>
          <w:p w14:paraId="5B3A41F1" w14:textId="77777777" w:rsidR="00824F08" w:rsidRDefault="00824F08" w:rsidP="00824F08">
            <w:pPr>
              <w:jc w:val="both"/>
            </w:pPr>
            <w:r>
              <w:t>(ii) tehnologiile de tarifare electronică utilizate;</w:t>
            </w:r>
          </w:p>
          <w:p w14:paraId="6500AE2A" w14:textId="77777777" w:rsidR="00824F08" w:rsidRDefault="00824F08" w:rsidP="00824F08">
            <w:pPr>
              <w:jc w:val="both"/>
            </w:pPr>
            <w:r>
              <w:t>(</w:t>
            </w:r>
            <w:proofErr w:type="spellStart"/>
            <w:r>
              <w:t>iii</w:t>
            </w:r>
            <w:proofErr w:type="spellEnd"/>
            <w:r>
              <w:t>) informații privind tarifele rutiere;</w:t>
            </w:r>
          </w:p>
          <w:p w14:paraId="66266583" w14:textId="77777777" w:rsidR="00824F08" w:rsidRDefault="00824F08" w:rsidP="00824F08">
            <w:pPr>
              <w:jc w:val="both"/>
            </w:pPr>
            <w:r>
              <w:t>(</w:t>
            </w:r>
            <w:proofErr w:type="spellStart"/>
            <w:r>
              <w:t>iv</w:t>
            </w:r>
            <w:proofErr w:type="spellEnd"/>
            <w:r>
              <w:t>) declarația privind domeniul SETRE;</w:t>
            </w:r>
          </w:p>
          <w:p w14:paraId="6A112DC6" w14:textId="77777777" w:rsidR="00824F08" w:rsidRDefault="00824F08" w:rsidP="00824F08">
            <w:pPr>
              <w:jc w:val="both"/>
            </w:pPr>
            <w:r>
              <w:t>(v) furnizorii de servicii care dețin contracte SETRE cu autoritățile care impun tarifele rutiere și care își desfășoară activitatea în sfera lor de competentă.</w:t>
            </w:r>
          </w:p>
          <w:p w14:paraId="4B5B23E8" w14:textId="3016074E" w:rsidR="00824F08" w:rsidRDefault="00824F08" w:rsidP="00824F08">
            <w:pPr>
              <w:jc w:val="both"/>
            </w:pPr>
            <w:r>
              <w:t>b) furnizorii SETRE cărora li se acordă înregistrarea.</w:t>
            </w:r>
          </w:p>
        </w:tc>
        <w:tc>
          <w:tcPr>
            <w:tcW w:w="6237" w:type="dxa"/>
            <w:tcBorders>
              <w:left w:val="nil"/>
              <w:right w:val="nil"/>
            </w:tcBorders>
          </w:tcPr>
          <w:p w14:paraId="027D51D4" w14:textId="77777777" w:rsidR="00824F08" w:rsidRPr="00CB566D" w:rsidRDefault="00824F08"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1CB8DDA0" w14:textId="77777777" w:rsidR="00824F08" w:rsidRPr="00CB566D" w:rsidRDefault="00824F08"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824F08" w:rsidRPr="00CB566D" w14:paraId="6EF1DA37" w14:textId="77777777" w:rsidTr="001539FB">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38CE30CD" w14:textId="77777777" w:rsidR="00824F08" w:rsidRDefault="00824F08" w:rsidP="00824F08">
            <w:pPr>
              <w:jc w:val="both"/>
            </w:pPr>
            <w:r>
              <w:lastRenderedPageBreak/>
              <w:t>Art. 4. – (1) În vederea înregistrării domeniilor SETRE în Registrul SETRE, fiecare autoritate care impune tarife rutiere și are în responsabilitatea sa unul sau mai multe domenii SETRE depune la Autoritatea Rutieră Română – A.R.R. un dosar care conține informațiile prevăzute la art. 3 alin. (2) lit. a) din prezenta hotărâre.</w:t>
            </w:r>
          </w:p>
          <w:p w14:paraId="59330083" w14:textId="77777777" w:rsidR="00824F08" w:rsidRDefault="00824F08" w:rsidP="00824F08">
            <w:pPr>
              <w:jc w:val="both"/>
            </w:pPr>
            <w:r>
              <w:t>(2) Declarația privind domeniul SETRE, prevăzută la art. 3 alin. (2) lit. a) pct. (</w:t>
            </w:r>
            <w:proofErr w:type="spellStart"/>
            <w:r>
              <w:t>iv</w:t>
            </w:r>
            <w:proofErr w:type="spellEnd"/>
            <w:r>
              <w:t>) din prezenta hotărâre conține cel puțin informațiile prevăzute în Anexa I la Decizia Comisiei 2009/750/CE.</w:t>
            </w:r>
          </w:p>
          <w:p w14:paraId="14A78BD7" w14:textId="77777777" w:rsidR="00824F08" w:rsidRDefault="00824F08" w:rsidP="00824F08">
            <w:pPr>
              <w:jc w:val="both"/>
            </w:pPr>
            <w:r>
              <w:t>(3) Înregistrarea în România a domeniilor SETRE se realizează în baza unei proceduri, care cuprinde următoarele:</w:t>
            </w:r>
          </w:p>
          <w:p w14:paraId="7AAC804F" w14:textId="77777777" w:rsidR="00824F08" w:rsidRDefault="00824F08" w:rsidP="00824F08">
            <w:pPr>
              <w:jc w:val="both"/>
            </w:pPr>
            <w:r>
              <w:t>a) conținutul dosarului prevăzut la alin. (1);</w:t>
            </w:r>
          </w:p>
          <w:p w14:paraId="46C3424C" w14:textId="77777777" w:rsidR="00824F08" w:rsidRDefault="00824F08" w:rsidP="00824F08">
            <w:pPr>
              <w:jc w:val="both"/>
            </w:pPr>
            <w:r>
              <w:t>b) informațiile care trebuie incluse în declarația privind domeniul SETRE;</w:t>
            </w:r>
          </w:p>
          <w:p w14:paraId="4BD33127" w14:textId="77777777" w:rsidR="00824F08" w:rsidRDefault="00824F08" w:rsidP="00824F08">
            <w:pPr>
              <w:jc w:val="both"/>
            </w:pPr>
            <w:r>
              <w:t>c) modalitatea de evaluare a dosarului depus de autoritatea care impune tarifele;</w:t>
            </w:r>
          </w:p>
          <w:p w14:paraId="00119351" w14:textId="77777777" w:rsidR="00824F08" w:rsidRDefault="00824F08" w:rsidP="00824F08">
            <w:pPr>
              <w:jc w:val="both"/>
            </w:pPr>
            <w:r>
              <w:t>d) datele aferente autorităților care impun tarifele, care trebuie introduse în Registrul SETRE;</w:t>
            </w:r>
          </w:p>
          <w:p w14:paraId="678E199D" w14:textId="3D4D3E5A" w:rsidR="00824F08" w:rsidRDefault="00824F08" w:rsidP="00824F08">
            <w:pPr>
              <w:jc w:val="both"/>
            </w:pPr>
            <w:r>
              <w:t xml:space="preserve">e) cerințe care trebuie îndeplinite de autoritățile care impun </w:t>
            </w:r>
            <w:r>
              <w:lastRenderedPageBreak/>
              <w:t>tarifele ulterior înregistrării în Registrul SETRE a domeniilor SETRE aflate în responsabilitatea autorităților respective.</w:t>
            </w:r>
          </w:p>
        </w:tc>
        <w:tc>
          <w:tcPr>
            <w:tcW w:w="6237" w:type="dxa"/>
            <w:tcBorders>
              <w:left w:val="nil"/>
              <w:right w:val="nil"/>
            </w:tcBorders>
          </w:tcPr>
          <w:p w14:paraId="517997D1" w14:textId="77777777" w:rsidR="00824F08" w:rsidRPr="00CB566D" w:rsidRDefault="00824F08"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551" w:type="dxa"/>
            <w:tcBorders>
              <w:left w:val="nil"/>
            </w:tcBorders>
          </w:tcPr>
          <w:p w14:paraId="40C20976" w14:textId="77777777" w:rsidR="00824F08" w:rsidRPr="00CB566D" w:rsidRDefault="00824F08"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824F08" w:rsidRPr="00CB566D" w14:paraId="2960F952" w14:textId="77777777"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07F3B239" w14:textId="77777777" w:rsidR="00824F08" w:rsidRDefault="00824F08" w:rsidP="00824F08">
            <w:pPr>
              <w:jc w:val="both"/>
            </w:pPr>
            <w:r>
              <w:lastRenderedPageBreak/>
              <w:t>Art. 5. - (1) În vederea înregistrării în Registrul SETRE în calitate furnizor SETRE, fiecare persoană juridică interesată depune la Autoritatea Rutieră Română – A.R.R. un dosar care conține informațiile necesare prin care să facă dovada că îndeplinește cerințele prevăzute la art. 3 din Decizia Comisiei 2009/750/CE.</w:t>
            </w:r>
          </w:p>
          <w:p w14:paraId="2B08FB5E" w14:textId="77777777" w:rsidR="00824F08" w:rsidRDefault="00824F08" w:rsidP="00824F08">
            <w:pPr>
              <w:jc w:val="both"/>
            </w:pPr>
            <w:r>
              <w:t>(2) Înregistrarea în România a furnizorilor SETRE se realizează în baza unei proceduri, care cuprinde următoarele:</w:t>
            </w:r>
          </w:p>
          <w:p w14:paraId="12A003A4" w14:textId="77777777" w:rsidR="00824F08" w:rsidRDefault="00824F08" w:rsidP="00824F08">
            <w:pPr>
              <w:jc w:val="both"/>
            </w:pPr>
            <w:r>
              <w:t>a) modelul formularului cererii de înregistrare a solicitantului în Registrul SETRE,</w:t>
            </w:r>
          </w:p>
          <w:p w14:paraId="1FB870CA" w14:textId="77777777" w:rsidR="00824F08" w:rsidRDefault="00824F08" w:rsidP="00824F08">
            <w:pPr>
              <w:jc w:val="both"/>
            </w:pPr>
            <w:r>
              <w:t>b) conținutul dosarului de înscriere în Registrul SETRE;</w:t>
            </w:r>
          </w:p>
          <w:p w14:paraId="01CBB06E" w14:textId="77777777" w:rsidR="00824F08" w:rsidRDefault="00824F08" w:rsidP="00824F08">
            <w:pPr>
              <w:jc w:val="both"/>
            </w:pPr>
            <w:r>
              <w:t>c) modalitatea de evaluare a dosarelor depuse de furnizorii SETRE;</w:t>
            </w:r>
          </w:p>
          <w:p w14:paraId="7E3C2487" w14:textId="77777777" w:rsidR="00824F08" w:rsidRDefault="00824F08" w:rsidP="00824F08">
            <w:pPr>
              <w:jc w:val="both"/>
            </w:pPr>
            <w:r>
              <w:t>d) datele aferente furnizorilor SETRE care trebuie introduse în Registrul SETRE;</w:t>
            </w:r>
          </w:p>
          <w:p w14:paraId="64525491" w14:textId="77777777" w:rsidR="00824F08" w:rsidRDefault="00824F08" w:rsidP="00824F08">
            <w:pPr>
              <w:jc w:val="both"/>
            </w:pPr>
            <w:r>
              <w:t>e) cazurile și condițiile în care se poate dispune retragerea/anularea înregistrării furnizorilor SETRE din Registrul SETRE;</w:t>
            </w:r>
          </w:p>
          <w:p w14:paraId="47D3FAFB" w14:textId="45832374" w:rsidR="00824F08" w:rsidRDefault="00824F08" w:rsidP="00824F08">
            <w:pPr>
              <w:jc w:val="both"/>
            </w:pPr>
            <w:r>
              <w:t>f) Cerințe care trebuie îndeplinite de furnizorul SETRE ulterior înregistrării în Registrul SETRE</w:t>
            </w:r>
          </w:p>
        </w:tc>
        <w:tc>
          <w:tcPr>
            <w:tcW w:w="6237" w:type="dxa"/>
            <w:tcBorders>
              <w:left w:val="nil"/>
              <w:right w:val="nil"/>
            </w:tcBorders>
          </w:tcPr>
          <w:p w14:paraId="2A504727" w14:textId="77777777" w:rsidR="00824F08" w:rsidRPr="00CB566D" w:rsidRDefault="00824F08"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64C66015" w14:textId="77777777" w:rsidR="00824F08" w:rsidRPr="00CB566D" w:rsidRDefault="00824F08"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824F08" w:rsidRPr="00CB566D" w14:paraId="3FF894B8" w14:textId="77777777" w:rsidTr="001539FB">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0CFDF0FC" w14:textId="77777777" w:rsidR="00824F08" w:rsidRDefault="00824F08" w:rsidP="00824F08">
            <w:pPr>
              <w:jc w:val="both"/>
            </w:pPr>
            <w:r>
              <w:t>Art. 6. - (1) Datele aferente furnizorilor SETRE sunt accesibile publicului, în conformitate cu dispoziţiile relevante în vigoare prevăzute de legislația națională și a Uniunii Europene în domeniul protecției datelor cu caracter personal.</w:t>
            </w:r>
          </w:p>
          <w:p w14:paraId="05129FE9" w14:textId="77777777" w:rsidR="00824F08" w:rsidRDefault="00824F08" w:rsidP="00824F08">
            <w:pPr>
              <w:jc w:val="both"/>
            </w:pPr>
            <w:r>
              <w:t>(2) Autoritatea Rutieră Română – A.R.R. dispune măsurile necesare pentru a asigura accesul publicului la datele aferente domeniilor SETRE și furnizorilor SETRE, înscrise în Registrul SETRE.</w:t>
            </w:r>
          </w:p>
          <w:p w14:paraId="3C1645F8" w14:textId="368D4F23" w:rsidR="00824F08" w:rsidRDefault="00824F08" w:rsidP="00824F08">
            <w:pPr>
              <w:jc w:val="both"/>
            </w:pPr>
            <w:r>
              <w:t xml:space="preserve">(3) Prin procedura de înregistrare în România a furnizorilor SETRE se poate stabili și introducerea în Registrul SETRE a unor </w:t>
            </w:r>
            <w:r>
              <w:lastRenderedPageBreak/>
              <w:t>date aferente acestora care nu sunt accesibile publicului.</w:t>
            </w:r>
          </w:p>
        </w:tc>
        <w:tc>
          <w:tcPr>
            <w:tcW w:w="6237" w:type="dxa"/>
            <w:tcBorders>
              <w:left w:val="nil"/>
              <w:right w:val="nil"/>
            </w:tcBorders>
          </w:tcPr>
          <w:p w14:paraId="3D8721D2" w14:textId="77777777" w:rsidR="00824F08" w:rsidRPr="00CB566D" w:rsidRDefault="00824F08"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551" w:type="dxa"/>
            <w:tcBorders>
              <w:left w:val="nil"/>
            </w:tcBorders>
          </w:tcPr>
          <w:p w14:paraId="04295042" w14:textId="77777777" w:rsidR="00824F08" w:rsidRPr="00CB566D" w:rsidRDefault="00824F08"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824F08" w:rsidRPr="00CB566D" w14:paraId="55B3D725" w14:textId="77777777"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4BC8A57A" w14:textId="77777777" w:rsidR="00824F08" w:rsidRDefault="00824F08" w:rsidP="00824F08">
            <w:pPr>
              <w:jc w:val="both"/>
            </w:pPr>
            <w:r>
              <w:lastRenderedPageBreak/>
              <w:t>Art. 7. – (1) Autoritatea Rutieră Română – A.R.R. reprezintă punctul național de contact responsabil de schimbul de informații cu Comisia Europeană, cu celelalte state membre ale Uniunii Europene, cu utilizatorii SETRE, cu autoritățile care impun tarifarea rutieră și cu orice alte autorități/instituții implicate, privind înregistrarea în România a domeniilor SETRE și a furnizorilor SETRE.</w:t>
            </w:r>
          </w:p>
          <w:p w14:paraId="6B812298" w14:textId="77777777" w:rsidR="00824F08" w:rsidRDefault="00824F08" w:rsidP="00824F08">
            <w:pPr>
              <w:jc w:val="both"/>
            </w:pPr>
            <w:r>
              <w:t>(2) Autoritatea Rutieră Română – A.R.R. dispune măsurile necesare pentru a asigura accesul publicului la datele aferente declarației privind domeniul SETRE și ale furnizorilor SETRE, înscrise în Registrul SETRE.</w:t>
            </w:r>
          </w:p>
          <w:p w14:paraId="75225E26" w14:textId="541902ED" w:rsidR="00824F08" w:rsidRDefault="00824F08" w:rsidP="00824F08">
            <w:pPr>
              <w:jc w:val="both"/>
            </w:pPr>
            <w:r>
              <w:t>(3) Până la data de 31 decembrie a fiecărui an calendaristic, Autoritatea Rutieră Română – A.R.R. comunică autorităților omoloage din statele membre ale Uniunii Europene și Comisiei Europene datele actualizate aferente furnizorilor SETRE înregistrați în Registrul SETRE.</w:t>
            </w:r>
          </w:p>
        </w:tc>
        <w:tc>
          <w:tcPr>
            <w:tcW w:w="6237" w:type="dxa"/>
            <w:tcBorders>
              <w:left w:val="nil"/>
              <w:right w:val="nil"/>
            </w:tcBorders>
          </w:tcPr>
          <w:p w14:paraId="4282D4C9" w14:textId="77777777" w:rsidR="00824F08" w:rsidRPr="00CB566D" w:rsidRDefault="00824F08"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3029FBF6" w14:textId="77777777" w:rsidR="00824F08" w:rsidRPr="00CB566D" w:rsidRDefault="00824F08"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824F08" w:rsidRPr="00CB566D" w14:paraId="0DEDA537" w14:textId="77777777" w:rsidTr="001539FB">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1EA979CD" w14:textId="6F2902B5" w:rsidR="00824F08" w:rsidRDefault="00824F08" w:rsidP="00824F08">
            <w:pPr>
              <w:jc w:val="both"/>
            </w:pPr>
            <w:r w:rsidRPr="00824F08">
              <w:t>Art. 8. - Procedura de înregistrare a domeniilor SETRE, prevăzută la art. 4 alin. (3) din prezenta hotărâre și procedura de înregistrare a furnizorilor SETRE, prevăzută la art. 5 alin. (2) din prezenta hotărâre se aprobă prin ordin al ministrului transporturilor, în termen de 30 de zile de la intrarea în vigoare a prezentei hotărâri.</w:t>
            </w:r>
          </w:p>
        </w:tc>
        <w:tc>
          <w:tcPr>
            <w:tcW w:w="6237" w:type="dxa"/>
            <w:tcBorders>
              <w:left w:val="nil"/>
              <w:right w:val="nil"/>
            </w:tcBorders>
          </w:tcPr>
          <w:p w14:paraId="66B277E0" w14:textId="77777777" w:rsidR="00824F08" w:rsidRPr="00CB566D" w:rsidRDefault="00824F08"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551" w:type="dxa"/>
            <w:tcBorders>
              <w:left w:val="nil"/>
            </w:tcBorders>
          </w:tcPr>
          <w:p w14:paraId="67ADB460" w14:textId="77777777" w:rsidR="00824F08" w:rsidRPr="00CB566D" w:rsidRDefault="00824F08"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4D357DEE" w14:textId="77777777" w:rsidR="005A0049" w:rsidRDefault="005A0049" w:rsidP="00DB7B50">
      <w:pPr>
        <w:jc w:val="both"/>
        <w:rPr>
          <w:rFonts w:ascii="Arial" w:hAnsi="Arial" w:cs="Arial"/>
          <w:b/>
          <w:sz w:val="24"/>
          <w:szCs w:val="24"/>
        </w:rPr>
      </w:pPr>
    </w:p>
    <w:p w14:paraId="1359C3B5" w14:textId="77777777" w:rsidR="00824F08" w:rsidRDefault="00824F08" w:rsidP="00DB7B50">
      <w:pPr>
        <w:jc w:val="both"/>
        <w:rPr>
          <w:rFonts w:ascii="Arial" w:hAnsi="Arial" w:cs="Arial"/>
          <w:b/>
          <w:sz w:val="24"/>
          <w:szCs w:val="24"/>
        </w:rPr>
      </w:pPr>
    </w:p>
    <w:p w14:paraId="75B5A43C" w14:textId="77777777" w:rsidR="00824F08" w:rsidRDefault="00824F08" w:rsidP="00DB7B50">
      <w:pPr>
        <w:jc w:val="both"/>
        <w:rPr>
          <w:rFonts w:ascii="Arial" w:hAnsi="Arial" w:cs="Arial"/>
          <w:b/>
          <w:sz w:val="24"/>
          <w:szCs w:val="24"/>
        </w:rPr>
      </w:pPr>
    </w:p>
    <w:p w14:paraId="7F181E3D" w14:textId="77777777"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14:paraId="7F181E3E" w14:textId="77777777" w:rsidR="00576A93" w:rsidRPr="00576A93" w:rsidRDefault="00576A93" w:rsidP="00DB7B50">
      <w:pPr>
        <w:jc w:val="both"/>
        <w:rPr>
          <w:rFonts w:ascii="Arial" w:hAnsi="Arial" w:cs="Arial"/>
          <w:b/>
          <w:sz w:val="24"/>
          <w:szCs w:val="24"/>
        </w:rPr>
      </w:pPr>
      <w:r>
        <w:lastRenderedPageBreak/>
        <w:t>Vor fi inserate observațiile punctuale referitoare la instrumentul de motivare și/sau anexă după următorul model</w:t>
      </w:r>
    </w:p>
    <w:tbl>
      <w:tblPr>
        <w:tblStyle w:val="LightList-Accent11"/>
        <w:tblW w:w="14850" w:type="dxa"/>
        <w:tblLook w:val="04A0" w:firstRow="1" w:lastRow="0" w:firstColumn="1" w:lastColumn="0" w:noHBand="0" w:noVBand="1"/>
      </w:tblPr>
      <w:tblGrid>
        <w:gridCol w:w="6062"/>
        <w:gridCol w:w="6237"/>
        <w:gridCol w:w="2551"/>
      </w:tblGrid>
      <w:tr w:rsidR="00576A93" w:rsidRPr="008D06BF" w14:paraId="7F181E42" w14:textId="77777777" w:rsidTr="00987C0D">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3F" w14:textId="77777777" w:rsidR="00576A93" w:rsidRPr="008D06BF" w:rsidRDefault="00576A93" w:rsidP="00987C0D">
            <w:pPr>
              <w:jc w:val="center"/>
            </w:pPr>
            <w:r>
              <w:t>Text instrument motivare/anexă</w:t>
            </w:r>
          </w:p>
        </w:tc>
        <w:tc>
          <w:tcPr>
            <w:tcW w:w="6237" w:type="dxa"/>
            <w:tcBorders>
              <w:top w:val="single" w:sz="8" w:space="0" w:color="4F81BD" w:themeColor="accent1"/>
              <w:left w:val="nil"/>
              <w:bottom w:val="nil"/>
              <w:right w:val="nil"/>
            </w:tcBorders>
            <w:hideMark/>
          </w:tcPr>
          <w:p w14:paraId="7F181E40" w14:textId="77777777" w:rsidR="00576A93" w:rsidRPr="00576A93" w:rsidRDefault="00576A93" w:rsidP="00987C0D">
            <w:pPr>
              <w:jc w:val="center"/>
              <w:cnfStyle w:val="100000000000" w:firstRow="1" w:lastRow="0" w:firstColumn="0" w:lastColumn="0" w:oddVBand="0" w:evenVBand="0" w:oddHBand="0" w:evenHBand="0" w:firstRowFirstColumn="0" w:firstRowLastColumn="0" w:lastRowFirstColumn="0" w:lastRowLastColumn="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14:paraId="7F181E41" w14:textId="77777777" w:rsidR="00576A93" w:rsidRPr="008D06BF" w:rsidRDefault="00576A93" w:rsidP="00987C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D06BF">
              <w:rPr>
                <w:rFonts w:ascii="Arial" w:hAnsi="Arial" w:cs="Arial"/>
                <w:sz w:val="20"/>
                <w:szCs w:val="20"/>
              </w:rPr>
              <w:t>Motivatie</w:t>
            </w:r>
            <w:proofErr w:type="spellEnd"/>
          </w:p>
        </w:tc>
      </w:tr>
      <w:tr w:rsidR="00576A93" w:rsidRPr="00CB566D" w14:paraId="7F181E46" w14:textId="77777777" w:rsidTr="0098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7F181E43" w14:textId="77777777"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14:paraId="7F181E44"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45"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F181E47" w14:textId="77777777" w:rsidR="00576A93" w:rsidRPr="00CB566D" w:rsidRDefault="00576A93" w:rsidP="00DB7B50">
      <w:pPr>
        <w:jc w:val="both"/>
        <w:rPr>
          <w:rFonts w:ascii="Arial" w:hAnsi="Arial" w:cs="Arial"/>
          <w:b/>
          <w:sz w:val="24"/>
          <w:szCs w:val="24"/>
        </w:rPr>
      </w:pPr>
    </w:p>
    <w:sectPr w:rsidR="00576A93" w:rsidRPr="00CB566D" w:rsidSect="004273AE">
      <w:footerReference w:type="default" r:id="rId9"/>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48D5" w14:textId="77777777" w:rsidR="00830F0D" w:rsidRDefault="00830F0D" w:rsidP="00DB7B50">
      <w:pPr>
        <w:spacing w:after="0" w:line="240" w:lineRule="auto"/>
      </w:pPr>
      <w:r>
        <w:separator/>
      </w:r>
    </w:p>
  </w:endnote>
  <w:endnote w:type="continuationSeparator" w:id="0">
    <w:p w14:paraId="7630C331" w14:textId="77777777" w:rsidR="00830F0D" w:rsidRDefault="00830F0D" w:rsidP="00DB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Calib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27217"/>
      <w:docPartObj>
        <w:docPartGallery w:val="Page Numbers (Bottom of Page)"/>
        <w:docPartUnique/>
      </w:docPartObj>
    </w:sdtPr>
    <w:sdtEndPr>
      <w:rPr>
        <w:noProof/>
      </w:rPr>
    </w:sdtEndPr>
    <w:sdtContent>
      <w:p w14:paraId="7F181E4C" w14:textId="77777777" w:rsidR="009D0694" w:rsidRDefault="009D0694">
        <w:pPr>
          <w:pStyle w:val="Footer"/>
          <w:jc w:val="right"/>
          <w:rPr>
            <w:noProof/>
          </w:rPr>
        </w:pPr>
        <w:r>
          <w:t xml:space="preserve">Pagina </w:t>
        </w:r>
        <w:r w:rsidR="00EF6120">
          <w:fldChar w:fldCharType="begin"/>
        </w:r>
        <w:r w:rsidR="00662E5C">
          <w:instrText xml:space="preserve"> PAGE   \* MERGEFORMAT </w:instrText>
        </w:r>
        <w:r w:rsidR="00EF6120">
          <w:fldChar w:fldCharType="separate"/>
        </w:r>
        <w:r w:rsidR="00824F08">
          <w:rPr>
            <w:noProof/>
          </w:rPr>
          <w:t>1</w:t>
        </w:r>
        <w:r w:rsidR="00EF6120">
          <w:rPr>
            <w:noProof/>
          </w:rPr>
          <w:fldChar w:fldCharType="end"/>
        </w:r>
      </w:p>
      <w:p w14:paraId="7F181E4D" w14:textId="77777777" w:rsidR="00662E5C" w:rsidRDefault="00830F0D">
        <w:pPr>
          <w:pStyle w:val="Footer"/>
          <w:jc w:val="right"/>
        </w:pPr>
      </w:p>
    </w:sdtContent>
  </w:sdt>
  <w:p w14:paraId="7F181E4E" w14:textId="06D99593"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824F08">
      <w:t xml:space="preserve"> - </w:t>
    </w:r>
    <w:r w:rsidRPr="009D0694">
      <w:t xml:space="preserve"> </w:t>
    </w:r>
    <w:r w:rsidR="004F23AF" w:rsidRPr="009D0694">
      <w:t xml:space="preserve">Bd. Dinicu Golescu nr. 38, sector 1, </w:t>
    </w:r>
    <w:proofErr w:type="spellStart"/>
    <w:r w:rsidR="004F23AF" w:rsidRPr="009D0694">
      <w:t>Bucuresti</w:t>
    </w:r>
    <w:proofErr w:type="spellEnd"/>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76079" w14:textId="77777777" w:rsidR="00830F0D" w:rsidRDefault="00830F0D" w:rsidP="00DB7B50">
      <w:pPr>
        <w:spacing w:after="0" w:line="240" w:lineRule="auto"/>
      </w:pPr>
      <w:r>
        <w:separator/>
      </w:r>
    </w:p>
  </w:footnote>
  <w:footnote w:type="continuationSeparator" w:id="0">
    <w:p w14:paraId="44422FE1" w14:textId="77777777" w:rsidR="00830F0D" w:rsidRDefault="00830F0D" w:rsidP="00DB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50"/>
    <w:rsid w:val="000105EC"/>
    <w:rsid w:val="00010CAC"/>
    <w:rsid w:val="00043218"/>
    <w:rsid w:val="0006287A"/>
    <w:rsid w:val="00063A93"/>
    <w:rsid w:val="00080000"/>
    <w:rsid w:val="000843A3"/>
    <w:rsid w:val="00094A6D"/>
    <w:rsid w:val="000972E5"/>
    <w:rsid w:val="000A0D49"/>
    <w:rsid w:val="000B559E"/>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82BD0"/>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43FD2"/>
    <w:rsid w:val="00444AAE"/>
    <w:rsid w:val="00446B6A"/>
    <w:rsid w:val="00450C91"/>
    <w:rsid w:val="0048470F"/>
    <w:rsid w:val="00493135"/>
    <w:rsid w:val="004A0F51"/>
    <w:rsid w:val="004A3AB7"/>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672D"/>
    <w:rsid w:val="00662E5C"/>
    <w:rsid w:val="00691D00"/>
    <w:rsid w:val="00694304"/>
    <w:rsid w:val="006A1D4A"/>
    <w:rsid w:val="006A352B"/>
    <w:rsid w:val="006E4B1F"/>
    <w:rsid w:val="006F3389"/>
    <w:rsid w:val="00724403"/>
    <w:rsid w:val="00736AD0"/>
    <w:rsid w:val="007840FA"/>
    <w:rsid w:val="007B2B22"/>
    <w:rsid w:val="007E1C9E"/>
    <w:rsid w:val="007E592D"/>
    <w:rsid w:val="007E716D"/>
    <w:rsid w:val="00811526"/>
    <w:rsid w:val="008152E0"/>
    <w:rsid w:val="00820E06"/>
    <w:rsid w:val="00824F08"/>
    <w:rsid w:val="00830F0D"/>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5189F"/>
    <w:rsid w:val="009634BC"/>
    <w:rsid w:val="009732B6"/>
    <w:rsid w:val="009947A4"/>
    <w:rsid w:val="009A0BE9"/>
    <w:rsid w:val="009B2C29"/>
    <w:rsid w:val="009B694C"/>
    <w:rsid w:val="009B79B1"/>
    <w:rsid w:val="009D0694"/>
    <w:rsid w:val="009E210B"/>
    <w:rsid w:val="009E23A8"/>
    <w:rsid w:val="009E4272"/>
    <w:rsid w:val="00A52D51"/>
    <w:rsid w:val="00A6017F"/>
    <w:rsid w:val="00A60EF8"/>
    <w:rsid w:val="00A623A8"/>
    <w:rsid w:val="00A76650"/>
    <w:rsid w:val="00A91F67"/>
    <w:rsid w:val="00AA56CA"/>
    <w:rsid w:val="00AB4A77"/>
    <w:rsid w:val="00AB53C1"/>
    <w:rsid w:val="00AD3927"/>
    <w:rsid w:val="00AE576D"/>
    <w:rsid w:val="00AF202F"/>
    <w:rsid w:val="00AF28B9"/>
    <w:rsid w:val="00B01369"/>
    <w:rsid w:val="00B12952"/>
    <w:rsid w:val="00B13D10"/>
    <w:rsid w:val="00B46464"/>
    <w:rsid w:val="00B85900"/>
    <w:rsid w:val="00BA451B"/>
    <w:rsid w:val="00BB4ECC"/>
    <w:rsid w:val="00BE4E07"/>
    <w:rsid w:val="00BF34B3"/>
    <w:rsid w:val="00C255DA"/>
    <w:rsid w:val="00C269E0"/>
    <w:rsid w:val="00C27116"/>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1798"/>
    <w:rsid w:val="00DD0E4E"/>
    <w:rsid w:val="00DD1524"/>
    <w:rsid w:val="00DE2F65"/>
    <w:rsid w:val="00DF110A"/>
    <w:rsid w:val="00E06398"/>
    <w:rsid w:val="00E149C9"/>
    <w:rsid w:val="00E17A0E"/>
    <w:rsid w:val="00E357E7"/>
    <w:rsid w:val="00E36C63"/>
    <w:rsid w:val="00E373BF"/>
    <w:rsid w:val="00E40946"/>
    <w:rsid w:val="00E50F50"/>
    <w:rsid w:val="00E54F42"/>
    <w:rsid w:val="00E55677"/>
    <w:rsid w:val="00E635AE"/>
    <w:rsid w:val="00E7039C"/>
    <w:rsid w:val="00E80FBC"/>
    <w:rsid w:val="00E86382"/>
    <w:rsid w:val="00E906DD"/>
    <w:rsid w:val="00E92DD5"/>
    <w:rsid w:val="00EB11CA"/>
    <w:rsid w:val="00EB172C"/>
    <w:rsid w:val="00EC3497"/>
    <w:rsid w:val="00ED1E9D"/>
    <w:rsid w:val="00EF6120"/>
    <w:rsid w:val="00F163FD"/>
    <w:rsid w:val="00F44612"/>
    <w:rsid w:val="00F51B94"/>
    <w:rsid w:val="00F56F5A"/>
    <w:rsid w:val="00F62847"/>
    <w:rsid w:val="00F66695"/>
    <w:rsid w:val="00F80B6C"/>
    <w:rsid w:val="00F858C8"/>
    <w:rsid w:val="00F960E1"/>
    <w:rsid w:val="00FA3034"/>
    <w:rsid w:val="00FC1151"/>
    <w:rsid w:val="00FD5942"/>
    <w:rsid w:val="00FF7E1B"/>
    <w:rsid w:val="2784CD82"/>
    <w:rsid w:val="7D7C7D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7CD3-3BB7-4B12-8717-3BE8DCAC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1151</Words>
  <Characters>6682</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Adrian Olteanu</cp:lastModifiedBy>
  <cp:revision>2</cp:revision>
  <cp:lastPrinted>2012-06-14T12:59:00Z</cp:lastPrinted>
  <dcterms:created xsi:type="dcterms:W3CDTF">2014-05-06T12:47:00Z</dcterms:created>
  <dcterms:modified xsi:type="dcterms:W3CDTF">2014-05-06T12:47:00Z</dcterms:modified>
</cp:coreProperties>
</file>